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140" w:line="276" w:lineRule="auto"/>
      </w:pPr>
      <w:r>
        <w:rPr>
          <w:b/>
          <w:sz w:val="36"/>
          <w:color w:val="09090B"/>
        </w:rPr>
        <w:t xml:space="preserve">Six Decades of Human Spaceflight: A Reproducible Analysis of Global Participation, Career Duration, and the Commercial Inflection Point (1961–2026)</w:t>
      </w:r>
    </w:p>
    <w:p>
      <w:pPr>
        <w:spacing w:before="0" w:after="40" w:line="276" w:lineRule="auto"/>
      </w:pPr>
      <w:r>
        <w:rPr>
          <w:b/>
          <w:sz w:val="24"/>
          <w:color w:val="27272A"/>
        </w:rPr>
        <w:t xml:space="preserve">Dr. Richard Barker</w:t>
      </w:r>
    </w:p>
    <w:p>
      <w:pPr>
        <w:spacing w:before="0" w:after="240" w:line="276" w:lineRule="auto"/>
      </w:pPr>
      <w:r>
        <w:rPr>
          <w:i/>
          <w:sz w:val="18"/>
          <w:color w:val="52525B"/>
        </w:rPr>
        <w:t xml:space="preserve">AstroBotany Laboratory, Department of Botany, University of Wisconsin–Madison, Madison, WI, USA
MadWest Rocketry Education &amp; Outreach Initiative · Correspondence: dr.richard.barker@wisc.edu</w:t>
      </w:r>
    </w:p>
    <w:p>
      <w:pPr>
        <w:spacing w:before="0" w:after="60" w:line="276" w:lineRule="auto"/>
      </w:pPr>
      <w:r>
        <w:rPr>
          <w:b/>
          <w:sz w:val="20"/>
          <w:color w:val="1E3A8A"/>
        </w:rPr>
        <w:t xml:space="preserve">ABSTRACT</w:t>
      </w:r>
    </w:p>
    <w:p>
      <w:pPr>
        <w:spacing w:before="0" w:after="140" w:line="276" w:lineRule="auto"/>
      </w:pPr>
      <w:r>
        <w:rPr>
          <w:sz w:val="20"/>
          <w:color w:val="334155"/>
        </w:rPr>
        <w:t xml:space="preserve">Over six decades since Yuriy Gagarin’s pioneering orbit in 1961, human spaceflight has transitioned from a high-risk Cold War geopolitical contest into a multi-national orbital laboratory era, and most recently into an expanding commercial enterprise. Here, we present a reproducible, census-level analysis of 773 flown astronauts spanning 1961 through 2026 (the catalogue's 783 flown astronauts minus the 10 still in space when the snapshot was taken, whose careers are not yet complete), derived from Jonathan C. McDowell’s General Catalogue of Astronauts.
Our findings reveal three distinct national operational philosophies: (1) the United States prioritised broad headcount participation (460 astronauts, 59.5% of the global total) characterized by relatively short mission spans (median career duration: 19.8 days); (2) Russia/USSR pursued sustained long-duration endurance (131 astronauts, 16.9%), yielding a median career duration of 194.8 days and the longest cumulative career on record (1,110.6 days, Oleg Kononenko); and (3) China established a deliberate, station-centric programme (27 astronauts, 3.5%) debuted entirely after 2003 with a median career duration of 192.2 days clustered in the 50-day to 1-year band.
Crucially, the 2020s has emerged as the most prolific debut decade in spaceflight history (199 new astronauts), surpassing the 1990s ISS build-up (168 debuts). However, this surge represents a profound structural bifurcation: 82.4% (637) achieved orbit, whereas 17.6% (136) flew exclusively on suborbital trajectories—driven predominantly by post-2021 commercial flights. Women comprise 14.7% (114 astronauts) of all space travelers.</w:t>
      </w:r>
    </w:p>
    <w:p>
      <w:pPr>
        <w:spacing w:before="0" w:after="280" w:line="276" w:lineRule="auto"/>
      </w:pPr>
      <w:r>
        <w:rPr>
          <w:i/>
          <w:sz w:val="18"/>
          <w:color w:val="64748B"/>
        </w:rPr>
        <w:t xml:space="preserve">Keywords: Astronaut Demographics · Human Spaceflight · Career Duration · Commercial Spaceflight · Orbital vs. Suborbital · Space Medicine</w:t>
      </w:r>
    </w:p>
    <w:p>
      <w:pPr>
        <w:spacing w:before="280" w:after="100" w:line="276" w:lineRule="auto"/>
      </w:pPr>
      <w:r>
        <w:rPr>
          <w:b/>
          <w:sz w:val="28"/>
          <w:color w:val="0F172A"/>
        </w:rPr>
        <w:t xml:space="preserve">1. Introduction</w:t>
      </w:r>
    </w:p>
    <w:p>
      <w:pPr>
        <w:spacing w:before="0" w:after="140" w:line="276" w:lineRule="auto"/>
      </w:pPr>
      <w:r>
        <w:rPr>
          <w:sz w:val="22"/>
          <w:color w:val="18181B"/>
        </w:rPr>
        <w:t xml:space="preserve">Since the dawn of human space exploration with Vostok 1 and Mercury-Redstone 3 in 1961, human presence beyond Earth's atmosphere has served as a benchmark of technological capability, geopolitical prestige, and scientific discovery. In the initial decades of the Space Race, astronaut cohorts were drawn almost exclusively from elite military test pilot corps, operating within state-sponsored programmes driven by the Cold War rivalry between the United States and the Soviet Union.</w:t>
      </w:r>
    </w:p>
    <w:p>
      <w:pPr>
        <w:spacing w:before="0" w:after="140" w:line="276" w:lineRule="auto"/>
      </w:pPr>
      <w:r>
        <w:rPr>
          <w:sz w:val="22"/>
          <w:color w:val="18181B"/>
        </w:rPr>
        <w:t xml:space="preserve">The advent of the NASA Space Shuttle programme in 1981 and the construction of modular space stations—culminating in the continuous human occupation of the International Space Station (ISS) since November 2000 and the completion of the Chinese Tiangong Space Station—fundamentally transformed astronaut mission profiles. Concurrently, the post-2020 commercial spaceflight revolution has democratized suborbital access while creating a distinct demographic of commercial spaceflight participants.</w:t>
      </w:r>
    </w:p>
    <w:p>
      <w:pPr>
        <w:spacing w:before="0" w:after="140" w:line="276" w:lineRule="auto"/>
      </w:pPr>
      <w:r>
        <w:rPr>
          <w:sz w:val="22"/>
          <w:color w:val="18181B"/>
        </w:rPr>
        <w:t xml:space="preserve">In this study, we present a standardized, reproducible census of human space travelers from 1961 through 2026, analyzing career duration profiles, national operational paradigms, gender dynamics, and the structural implications of commercial suborbital flight.</w:t>
      </w:r>
    </w:p>
    <w:p>
      <w:pPr>
        <w:spacing w:before="280" w:after="100" w:line="276" w:lineRule="auto"/>
      </w:pPr>
      <w:r>
        <w:rPr>
          <w:b/>
          <w:sz w:val="28"/>
          <w:color w:val="0F172A"/>
        </w:rPr>
        <w:t xml:space="preserve">2. Materials and Methods</w:t>
      </w:r>
    </w:p>
    <w:p>
      <w:pPr>
        <w:spacing w:before="0" w:after="140" w:line="276" w:lineRule="auto"/>
      </w:pPr>
      <w:r>
        <w:rPr>
          <w:sz w:val="22"/>
          <w:color w:val="18181B"/>
        </w:rPr>
        <w:t xml:space="preserve">Data were harvested from Jonathan C. McDowell's General Catalogue of Astronauts (Planet4589), an internationally recognized astronomical catalogue. The extraction pipeline (scripts/build_dataset.py) parses fixed-width biographical and mission catalogues (astro.html and missions.html). The snapshot is the catalogue as updated on 3 July 2026, which lists 783 flown astronauts; the 10 still in space when it was taken have no completed career duration and are excluded, leaving 773.</w:t>
      </w:r>
    </w:p>
    <w:p>
      <w:pPr>
        <w:spacing w:before="0" w:after="140" w:line="276" w:lineRule="auto"/>
      </w:pPr>
      <w:r>
        <w:rPr>
          <w:sz w:val="22"/>
          <w:color w:val="18181B"/>
        </w:rPr>
        <w:t xml:space="preserve">Astronauts are classified into four national cohorts (USA, Russia/USSR, China, and Other Nations) and categorized by orbital mechanics thresholds into Orbital (achieved stable orbit on at least one flight) vs. Suborbital (all flights suborbital). Career duration is partitioned into five operational bands: &lt; 1 hour, 1 hour to 1 week, 1 week to 50 days, 50 days to 1 year, and &gt; 1 year. The Russia/USSR cohort is catalogue citizenship code RU, which covers most Soviet-era cosmonauts; four Soviet cosmonauts coded UA or KZ (Dobrovol'skiy, Zholobov, Artsebarskiy, Aubakirov) fall under Other Nations.</w:t>
      </w:r>
    </w:p>
    <w:p>
      <w:pPr>
        <w:spacing w:before="280" w:after="100" w:line="276" w:lineRule="auto"/>
      </w:pPr>
      <w:r>
        <w:rPr>
          <w:b/>
          <w:sz w:val="28"/>
          <w:color w:val="0F172A"/>
        </w:rPr>
        <w:t xml:space="preserve">3. Results</w:t>
      </w:r>
    </w:p>
    <w:p>
      <w:pPr>
        <w:spacing w:before="200" w:after="80" w:line="276" w:lineRule="auto"/>
      </w:pPr>
      <w:r>
        <w:rPr>
          <w:b/>
          <w:sz w:val="24"/>
          <w:color w:val="1E293B"/>
        </w:rPr>
        <w:t xml:space="preserve">3.1 Global Spaceflight Growth and Decadal Dynamics</w:t>
      </w:r>
    </w:p>
    <w:p>
      <w:pPr>
        <w:spacing w:before="0" w:after="140" w:line="276" w:lineRule="auto"/>
      </w:pPr>
      <w:r>
        <w:rPr>
          <w:sz w:val="22"/>
          <w:color w:val="18181B"/>
        </w:rPr>
        <w:t xml:space="preserve">The analysed set comprises 773 individual astronauts who first flew between April 1961 and mid-2026. Debut trends exhibit clear historical waves corresponding to major launch vehicle architectures (Figure 1 and Table 1).</w:t>
      </w:r>
    </w:p>
    <w:p>
      <w:pPr>
        <w:jc w:val="center"/>
        <w:spacing w:before="120" w:after="60"/>
      </w:pPr>
      <w:r>
        <w:drawing>
          <wp:inline xmlns:wp="http://schemas.openxmlformats.org/drawingml/2006/wordprocessingDrawing" distT="0" distB="0" distL="0" distR="0">
            <wp:extent cx="5600000" cy="2400000"/>
            <wp:docPr id="1" name="Figure"/>
            <a:graphic xmlns:a="http://schemas.openxmlformats.org/drawingml/2006/main">
              <a:graphicData uri="http://schemas.openxmlformats.org/drawingml/2006/picture">
                <pic:pic xmlns:pic="http://schemas.openxmlformats.org/drawingml/2006/picture">
                  <pic:nvPicPr>
                    <pic:cNvPr id="0" name="Picture"/>
                    <pic:cNvPicPr/>
                  </pic:nvPicPr>
                  <pic:blipFill>
                    <a:blip xmlns:r="http://schemas.openxmlformats.org/officeDocument/2006/relationships" r:embed="rIdImg10"/>
                    <a:stretch>
                      <a:fillRect/>
                    </a:stretch>
                  </pic:blipFill>
                  <pic:spPr>
                    <a:xfrm>
                      <a:off x="0" y="0"/>
                      <a:ext cx="5600000" cy="2400000"/>
                    </a:xfrm>
                    <a:prstGeom prst="rect">
                      <a:avLst/>
                    </a:prstGeom>
                  </pic:spPr>
                </pic:pic>
              </a:graphicData>
            </a:graphic>
          </wp:inline>
        </w:drawing>
      </w:r>
    </w:p>
    <w:p>
      <w:pPr>
        <w:spacing w:before="0" w:after="160" w:line="276" w:lineRule="auto"/>
      </w:pPr>
      <w:r>
        <w:rPr>
          <w:i/>
          <w:sz w:val="18"/>
          <w:color w:val="475569"/>
        </w:rPr>
        <w:t xml:space="preserve">Figure 1 | New astronauts entering service each year by country (1961–2026). Stacked area timeline displaying USA (blue), Russia (red), China (yellow), and Other (green).</w:t>
      </w:r>
    </w:p>
    <w:tbl>
      <w:tblPr>
        <w:tblW w:w="8300" w:type="dxa"/>
        <w:tblBorders>
          <w:top w:val="single" w:sz="4" w:space="0" w:color="E2E8F0"/>
          <w:left w:val="single" w:sz="4" w:space="0" w:color="E2E8F0"/>
          <w:bottom w:val="single" w:sz="8" w:space="0" w:color="CBD5E1"/>
          <w:right w:val="single" w:sz="4" w:space="0" w:color="E2E8F0"/>
          <w:insideH w:val="single" w:sz="4" w:space="0" w:color="E2E8F0"/>
          <w:insideV w:val="single" w:sz="4" w:space="0" w:color="E2E8F0"/>
        </w:tblBorders>
      </w:tblPr>
      <w:tblGrid>
        <w:gridCol w:w="1400"/>
        <w:gridCol w:w="1400"/>
        <w:gridCol w:w="1200"/>
        <w:gridCol w:w="1500"/>
        <w:gridCol w:w="1200"/>
        <w:gridCol w:w="1600"/>
      </w:tblGrid>
      <w:tr>
        <w:trPr>
          <w:tblHeader/>
        </w:trPr>
        <w:tc>
          <w:tcPr>
            <w:tcW w:w="1400" w:type="dxa"/>
            <w:shd w:val="clear" w:color="auto" w:fill="F1F5F9"/>
          </w:tcPr>
          <w:p>
            <w:pPr>
              <w:spacing w:before="60" w:after="60"/>
            </w:pPr>
            <w:r>
              <w:rPr>
                <w:b/>
                <w:sz w:val="18"/>
                <w:color w:val="0F172A"/>
              </w:rPr>
              <w:t>Decade</w:t>
            </w:r>
          </w:p>
        </w:tc>
        <w:tc>
          <w:tcPr>
            <w:tcW w:w="1400" w:type="dxa"/>
            <w:shd w:val="clear" w:color="auto" w:fill="F1F5F9"/>
          </w:tcPr>
          <w:p>
            <w:pPr>
              <w:spacing w:before="60" w:after="60"/>
            </w:pPr>
            <w:r>
              <w:rPr>
                <w:b/>
                <w:sz w:val="18"/>
                <w:color w:val="0F172A"/>
              </w:rPr>
              <w:t>Total Debuts</w:t>
            </w:r>
          </w:p>
        </w:tc>
        <w:tc>
          <w:tcPr>
            <w:tcW w:w="1200" w:type="dxa"/>
            <w:shd w:val="clear" w:color="auto" w:fill="F1F5F9"/>
          </w:tcPr>
          <w:p>
            <w:pPr>
              <w:spacing w:before="60" w:after="60"/>
            </w:pPr>
            <w:r>
              <w:rPr>
                <w:b/>
                <w:sz w:val="18"/>
                <w:color w:val="0F172A"/>
              </w:rPr>
              <w:t>USA</w:t>
            </w:r>
          </w:p>
        </w:tc>
        <w:tc>
          <w:tcPr>
            <w:tcW w:w="1500" w:type="dxa"/>
            <w:shd w:val="clear" w:color="auto" w:fill="F1F5F9"/>
          </w:tcPr>
          <w:p>
            <w:pPr>
              <w:spacing w:before="60" w:after="60"/>
            </w:pPr>
            <w:r>
              <w:rPr>
                <w:b/>
                <w:sz w:val="18"/>
                <w:color w:val="0F172A"/>
              </w:rPr>
              <w:t>Russia / USSR</w:t>
            </w:r>
          </w:p>
        </w:tc>
        <w:tc>
          <w:tcPr>
            <w:tcW w:w="1200" w:type="dxa"/>
            <w:shd w:val="clear" w:color="auto" w:fill="F1F5F9"/>
          </w:tcPr>
          <w:p>
            <w:pPr>
              <w:spacing w:before="60" w:after="60"/>
            </w:pPr>
            <w:r>
              <w:rPr>
                <w:b/>
                <w:sz w:val="18"/>
                <w:color w:val="0F172A"/>
              </w:rPr>
              <w:t>China</w:t>
            </w:r>
          </w:p>
        </w:tc>
        <w:tc>
          <w:tcPr>
            <w:tcW w:w="1600" w:type="dxa"/>
            <w:shd w:val="clear" w:color="auto" w:fill="F1F5F9"/>
          </w:tcPr>
          <w:p>
            <w:pPr>
              <w:spacing w:before="60" w:after="60"/>
            </w:pPr>
            <w:r>
              <w:rPr>
                <w:b/>
                <w:sz w:val="18"/>
                <w:color w:val="0F172A"/>
              </w:rPr>
              <w:t>Other Nations</w:t>
            </w:r>
          </w:p>
        </w:tc>
      </w:tr>
      <w:tr>
        <w:tc>
          <w:tcPr>
            <w:tcW w:w="1400" w:type="dxa"/>
            <w:shd w:val="clear" w:color="auto"/>
          </w:tcPr>
          <w:p>
            <w:pPr>
              <w:spacing w:before="40" w:after="40"/>
            </w:pPr>
            <w:r>
              <w:rPr>
                <w:sz w:val="18"/>
                <w:color w:val="18181B"/>
              </w:rPr>
              <w:t>1960s</w:t>
            </w:r>
          </w:p>
        </w:tc>
        <w:tc>
          <w:tcPr>
            <w:tcW w:w="1400" w:type="dxa"/>
            <w:shd w:val="clear" w:color="auto"/>
          </w:tcPr>
          <w:p>
            <w:pPr>
              <w:jc w:val="right"/>
              <w:spacing w:before="40" w:after="40"/>
            </w:pPr>
            <w:r>
              <w:rPr>
                <w:sz w:val="18"/>
                <w:color w:val="18181B"/>
              </w:rPr>
              <w:t>53</w:t>
            </w:r>
          </w:p>
        </w:tc>
        <w:tc>
          <w:tcPr>
            <w:tcW w:w="1200" w:type="dxa"/>
            <w:shd w:val="clear" w:color="auto"/>
          </w:tcPr>
          <w:p>
            <w:pPr>
              <w:jc w:val="right"/>
              <w:spacing w:before="40" w:after="40"/>
            </w:pPr>
            <w:r>
              <w:rPr>
                <w:sz w:val="18"/>
                <w:color w:val="18181B"/>
              </w:rPr>
              <w:t>32</w:t>
            </w:r>
          </w:p>
        </w:tc>
        <w:tc>
          <w:tcPr>
            <w:tcW w:w="1500" w:type="dxa"/>
            <w:shd w:val="clear" w:color="auto"/>
          </w:tcPr>
          <w:p>
            <w:pPr>
              <w:jc w:val="right"/>
              <w:spacing w:before="40" w:after="40"/>
            </w:pPr>
            <w:r>
              <w:rPr>
                <w:sz w:val="18"/>
                <w:color w:val="18181B"/>
              </w:rPr>
              <w:t>21</w:t>
            </w:r>
          </w:p>
        </w:tc>
        <w:tc>
          <w:tcPr>
            <w:tcW w:w="1200" w:type="dxa"/>
            <w:shd w:val="clear" w:color="auto"/>
          </w:tcPr>
          <w:p>
            <w:pPr>
              <w:jc w:val="right"/>
              <w:spacing w:before="40" w:after="40"/>
            </w:pPr>
            <w:r>
              <w:rPr>
                <w:sz w:val="18"/>
                <w:color w:val="18181B"/>
              </w:rPr>
              <w:t>0</w:t>
            </w:r>
          </w:p>
        </w:tc>
        <w:tc>
          <w:tcPr>
            <w:tcW w:w="1600" w:type="dxa"/>
            <w:shd w:val="clear" w:color="auto"/>
          </w:tcPr>
          <w:p>
            <w:pPr>
              <w:jc w:val="right"/>
              <w:spacing w:before="40" w:after="40"/>
            </w:pPr>
            <w:r>
              <w:rPr>
                <w:sz w:val="18"/>
                <w:color w:val="18181B"/>
              </w:rPr>
              <w:t>0</w:t>
            </w:r>
          </w:p>
        </w:tc>
      </w:tr>
      <w:tr>
        <w:tc>
          <w:tcPr>
            <w:tcW w:w="1400" w:type="dxa"/>
            <w:shd w:val="clear" w:color="auto" fill="F8FAFC"/>
          </w:tcPr>
          <w:p>
            <w:pPr>
              <w:spacing w:before="40" w:after="40"/>
            </w:pPr>
            <w:r>
              <w:rPr>
                <w:sz w:val="18"/>
                <w:color w:val="18181B"/>
              </w:rPr>
              <w:t>1970s</w:t>
            </w:r>
          </w:p>
        </w:tc>
        <w:tc>
          <w:tcPr>
            <w:tcW w:w="1400" w:type="dxa"/>
            <w:shd w:val="clear" w:color="auto" fill="F8FAFC"/>
          </w:tcPr>
          <w:p>
            <w:pPr>
              <w:jc w:val="right"/>
              <w:spacing w:before="40" w:after="40"/>
            </w:pPr>
            <w:r>
              <w:rPr>
                <w:sz w:val="18"/>
                <w:color w:val="18181B"/>
              </w:rPr>
              <w:t>47</w:t>
            </w:r>
          </w:p>
        </w:tc>
        <w:tc>
          <w:tcPr>
            <w:tcW w:w="1200" w:type="dxa"/>
            <w:shd w:val="clear" w:color="auto" fill="F8FAFC"/>
          </w:tcPr>
          <w:p>
            <w:pPr>
              <w:jc w:val="right"/>
              <w:spacing w:before="40" w:after="40"/>
            </w:pPr>
            <w:r>
              <w:rPr>
                <w:sz w:val="18"/>
                <w:color w:val="18181B"/>
              </w:rPr>
              <w:t>19</w:t>
            </w:r>
          </w:p>
        </w:tc>
        <w:tc>
          <w:tcPr>
            <w:tcW w:w="1500" w:type="dxa"/>
            <w:shd w:val="clear" w:color="auto" fill="F8FAFC"/>
          </w:tcPr>
          <w:p>
            <w:pPr>
              <w:jc w:val="right"/>
              <w:spacing w:before="40" w:after="40"/>
            </w:pPr>
            <w:r>
              <w:rPr>
                <w:sz w:val="18"/>
                <w:color w:val="18181B"/>
              </w:rPr>
              <w:t>22</w:t>
            </w:r>
          </w:p>
        </w:tc>
        <w:tc>
          <w:tcPr>
            <w:tcW w:w="1200" w:type="dxa"/>
            <w:shd w:val="clear" w:color="auto" fill="F8FAFC"/>
          </w:tcPr>
          <w:p>
            <w:pPr>
              <w:jc w:val="right"/>
              <w:spacing w:before="40" w:after="40"/>
            </w:pPr>
            <w:r>
              <w:rPr>
                <w:sz w:val="18"/>
                <w:color w:val="18181B"/>
              </w:rPr>
              <w:t>0</w:t>
            </w:r>
          </w:p>
        </w:tc>
        <w:tc>
          <w:tcPr>
            <w:tcW w:w="1600" w:type="dxa"/>
            <w:shd w:val="clear" w:color="auto" fill="F8FAFC"/>
          </w:tcPr>
          <w:p>
            <w:pPr>
              <w:jc w:val="right"/>
              <w:spacing w:before="40" w:after="40"/>
            </w:pPr>
            <w:r>
              <w:rPr>
                <w:sz w:val="18"/>
                <w:color w:val="18181B"/>
              </w:rPr>
              <w:t>6</w:t>
            </w:r>
          </w:p>
        </w:tc>
      </w:tr>
      <w:tr>
        <w:tc>
          <w:tcPr>
            <w:tcW w:w="1400" w:type="dxa"/>
            <w:shd w:val="clear" w:color="auto"/>
          </w:tcPr>
          <w:p>
            <w:pPr>
              <w:spacing w:before="40" w:after="40"/>
            </w:pPr>
            <w:r>
              <w:rPr>
                <w:sz w:val="18"/>
                <w:color w:val="18181B"/>
              </w:rPr>
              <w:t>1980s</w:t>
            </w:r>
          </w:p>
        </w:tc>
        <w:tc>
          <w:tcPr>
            <w:tcW w:w="1400" w:type="dxa"/>
            <w:shd w:val="clear" w:color="auto"/>
          </w:tcPr>
          <w:p>
            <w:pPr>
              <w:jc w:val="right"/>
              <w:spacing w:before="40" w:after="40"/>
            </w:pPr>
            <w:r>
              <w:rPr>
                <w:sz w:val="18"/>
                <w:color w:val="18181B"/>
              </w:rPr>
              <w:t>129</w:t>
            </w:r>
          </w:p>
        </w:tc>
        <w:tc>
          <w:tcPr>
            <w:tcW w:w="1200" w:type="dxa"/>
            <w:shd w:val="clear" w:color="auto"/>
          </w:tcPr>
          <w:p>
            <w:pPr>
              <w:jc w:val="right"/>
              <w:spacing w:before="40" w:after="40"/>
            </w:pPr>
            <w:r>
              <w:rPr>
                <w:sz w:val="18"/>
                <w:color w:val="18181B"/>
              </w:rPr>
              <w:t>89</w:t>
            </w:r>
          </w:p>
        </w:tc>
        <w:tc>
          <w:tcPr>
            <w:tcW w:w="1500" w:type="dxa"/>
            <w:shd w:val="clear" w:color="auto"/>
          </w:tcPr>
          <w:p>
            <w:pPr>
              <w:jc w:val="right"/>
              <w:spacing w:before="40" w:after="40"/>
            </w:pPr>
            <w:r>
              <w:rPr>
                <w:sz w:val="18"/>
                <w:color w:val="18181B"/>
              </w:rPr>
              <w:t>22</w:t>
            </w:r>
          </w:p>
        </w:tc>
        <w:tc>
          <w:tcPr>
            <w:tcW w:w="1200" w:type="dxa"/>
            <w:shd w:val="clear" w:color="auto"/>
          </w:tcPr>
          <w:p>
            <w:pPr>
              <w:jc w:val="right"/>
              <w:spacing w:before="40" w:after="40"/>
            </w:pPr>
            <w:r>
              <w:rPr>
                <w:sz w:val="18"/>
                <w:color w:val="18181B"/>
              </w:rPr>
              <w:t>0</w:t>
            </w:r>
          </w:p>
        </w:tc>
        <w:tc>
          <w:tcPr>
            <w:tcW w:w="1600" w:type="dxa"/>
            <w:shd w:val="clear" w:color="auto"/>
          </w:tcPr>
          <w:p>
            <w:pPr>
              <w:jc w:val="right"/>
              <w:spacing w:before="40" w:after="40"/>
            </w:pPr>
            <w:r>
              <w:rPr>
                <w:sz w:val="18"/>
                <w:color w:val="18181B"/>
              </w:rPr>
              <w:t>18</w:t>
            </w:r>
          </w:p>
        </w:tc>
      </w:tr>
      <w:tr>
        <w:tc>
          <w:tcPr>
            <w:tcW w:w="1400" w:type="dxa"/>
            <w:shd w:val="clear" w:color="auto" fill="F8FAFC"/>
          </w:tcPr>
          <w:p>
            <w:pPr>
              <w:spacing w:before="40" w:after="40"/>
            </w:pPr>
            <w:r>
              <w:rPr>
                <w:sz w:val="18"/>
                <w:color w:val="18181B"/>
              </w:rPr>
              <w:t>1990s</w:t>
            </w:r>
          </w:p>
        </w:tc>
        <w:tc>
          <w:tcPr>
            <w:tcW w:w="1400" w:type="dxa"/>
            <w:shd w:val="clear" w:color="auto" fill="F8FAFC"/>
          </w:tcPr>
          <w:p>
            <w:pPr>
              <w:jc w:val="right"/>
              <w:spacing w:before="40" w:after="40"/>
            </w:pPr>
            <w:r>
              <w:rPr>
                <w:sz w:val="18"/>
                <w:color w:val="18181B"/>
              </w:rPr>
              <w:t>168</w:t>
            </w:r>
          </w:p>
        </w:tc>
        <w:tc>
          <w:tcPr>
            <w:tcW w:w="1200" w:type="dxa"/>
            <w:shd w:val="clear" w:color="auto" fill="F8FAFC"/>
          </w:tcPr>
          <w:p>
            <w:pPr>
              <w:jc w:val="right"/>
              <w:spacing w:before="40" w:after="40"/>
            </w:pPr>
            <w:r>
              <w:rPr>
                <w:sz w:val="18"/>
                <w:color w:val="18181B"/>
              </w:rPr>
              <w:t>111</w:t>
            </w:r>
          </w:p>
        </w:tc>
        <w:tc>
          <w:tcPr>
            <w:tcW w:w="1500" w:type="dxa"/>
            <w:shd w:val="clear" w:color="auto" fill="F8FAFC"/>
          </w:tcPr>
          <w:p>
            <w:pPr>
              <w:jc w:val="right"/>
              <w:spacing w:before="40" w:after="40"/>
            </w:pPr>
            <w:r>
              <w:rPr>
                <w:sz w:val="18"/>
                <w:color w:val="18181B"/>
              </w:rPr>
              <w:t>21</w:t>
            </w:r>
          </w:p>
        </w:tc>
        <w:tc>
          <w:tcPr>
            <w:tcW w:w="1200" w:type="dxa"/>
            <w:shd w:val="clear" w:color="auto" fill="F8FAFC"/>
          </w:tcPr>
          <w:p>
            <w:pPr>
              <w:jc w:val="right"/>
              <w:spacing w:before="40" w:after="40"/>
            </w:pPr>
            <w:r>
              <w:rPr>
                <w:sz w:val="18"/>
                <w:color w:val="18181B"/>
              </w:rPr>
              <w:t>0</w:t>
            </w:r>
          </w:p>
        </w:tc>
        <w:tc>
          <w:tcPr>
            <w:tcW w:w="1600" w:type="dxa"/>
            <w:shd w:val="clear" w:color="auto" fill="F8FAFC"/>
          </w:tcPr>
          <w:p>
            <w:pPr>
              <w:jc w:val="right"/>
              <w:spacing w:before="40" w:after="40"/>
            </w:pPr>
            <w:r>
              <w:rPr>
                <w:sz w:val="18"/>
                <w:color w:val="18181B"/>
              </w:rPr>
              <w:t>36</w:t>
            </w:r>
          </w:p>
        </w:tc>
      </w:tr>
      <w:tr>
        <w:tc>
          <w:tcPr>
            <w:tcW w:w="1400" w:type="dxa"/>
            <w:shd w:val="clear" w:color="auto"/>
          </w:tcPr>
          <w:p>
            <w:pPr>
              <w:spacing w:before="40" w:after="40"/>
            </w:pPr>
            <w:r>
              <w:rPr>
                <w:sz w:val="18"/>
                <w:color w:val="18181B"/>
              </w:rPr>
              <w:t>2000s</w:t>
            </w:r>
          </w:p>
        </w:tc>
        <w:tc>
          <w:tcPr>
            <w:tcW w:w="1400" w:type="dxa"/>
            <w:shd w:val="clear" w:color="auto"/>
          </w:tcPr>
          <w:p>
            <w:pPr>
              <w:jc w:val="right"/>
              <w:spacing w:before="40" w:after="40"/>
            </w:pPr>
            <w:r>
              <w:rPr>
                <w:sz w:val="18"/>
                <w:color w:val="18181B"/>
              </w:rPr>
              <w:t>120</w:t>
            </w:r>
          </w:p>
        </w:tc>
        <w:tc>
          <w:tcPr>
            <w:tcW w:w="1200" w:type="dxa"/>
            <w:shd w:val="clear" w:color="auto"/>
          </w:tcPr>
          <w:p>
            <w:pPr>
              <w:jc w:val="right"/>
              <w:spacing w:before="40" w:after="40"/>
            </w:pPr>
            <w:r>
              <w:rPr>
                <w:sz w:val="18"/>
                <w:color w:val="18181B"/>
              </w:rPr>
              <w:t>86</w:t>
            </w:r>
          </w:p>
        </w:tc>
        <w:tc>
          <w:tcPr>
            <w:tcW w:w="1500" w:type="dxa"/>
            <w:shd w:val="clear" w:color="auto"/>
          </w:tcPr>
          <w:p>
            <w:pPr>
              <w:jc w:val="right"/>
              <w:spacing w:before="40" w:after="40"/>
            </w:pPr>
            <w:r>
              <w:rPr>
                <w:sz w:val="18"/>
                <w:color w:val="18181B"/>
              </w:rPr>
              <w:t>13</w:t>
            </w:r>
          </w:p>
        </w:tc>
        <w:tc>
          <w:tcPr>
            <w:tcW w:w="1200" w:type="dxa"/>
            <w:shd w:val="clear" w:color="auto"/>
          </w:tcPr>
          <w:p>
            <w:pPr>
              <w:jc w:val="right"/>
              <w:spacing w:before="40" w:after="40"/>
            </w:pPr>
            <w:r>
              <w:rPr>
                <w:sz w:val="18"/>
                <w:color w:val="18181B"/>
              </w:rPr>
              <w:t>6</w:t>
            </w:r>
          </w:p>
        </w:tc>
        <w:tc>
          <w:tcPr>
            <w:tcW w:w="1600" w:type="dxa"/>
            <w:shd w:val="clear" w:color="auto"/>
          </w:tcPr>
          <w:p>
            <w:pPr>
              <w:jc w:val="right"/>
              <w:spacing w:before="40" w:after="40"/>
            </w:pPr>
            <w:r>
              <w:rPr>
                <w:sz w:val="18"/>
                <w:color w:val="18181B"/>
              </w:rPr>
              <w:t>15</w:t>
            </w:r>
          </w:p>
        </w:tc>
      </w:tr>
      <w:tr>
        <w:tc>
          <w:tcPr>
            <w:tcW w:w="1400" w:type="dxa"/>
            <w:shd w:val="clear" w:color="auto" fill="F8FAFC"/>
          </w:tcPr>
          <w:p>
            <w:pPr>
              <w:spacing w:before="40" w:after="40"/>
            </w:pPr>
            <w:r>
              <w:rPr>
                <w:sz w:val="18"/>
                <w:color w:val="18181B"/>
              </w:rPr>
              <w:t>2010s</w:t>
            </w:r>
          </w:p>
        </w:tc>
        <w:tc>
          <w:tcPr>
            <w:tcW w:w="1400" w:type="dxa"/>
            <w:shd w:val="clear" w:color="auto" fill="F8FAFC"/>
          </w:tcPr>
          <w:p>
            <w:pPr>
              <w:jc w:val="right"/>
              <w:spacing w:before="40" w:after="40"/>
            </w:pPr>
            <w:r>
              <w:rPr>
                <w:sz w:val="18"/>
                <w:color w:val="18181B"/>
              </w:rPr>
              <w:t>57</w:t>
            </w:r>
          </w:p>
        </w:tc>
        <w:tc>
          <w:tcPr>
            <w:tcW w:w="1200" w:type="dxa"/>
            <w:shd w:val="clear" w:color="auto" fill="F8FAFC"/>
          </w:tcPr>
          <w:p>
            <w:pPr>
              <w:jc w:val="right"/>
              <w:spacing w:before="40" w:after="40"/>
            </w:pPr>
            <w:r>
              <w:rPr>
                <w:sz w:val="18"/>
                <w:color w:val="18181B"/>
              </w:rPr>
              <w:t>19</w:t>
            </w:r>
          </w:p>
        </w:tc>
        <w:tc>
          <w:tcPr>
            <w:tcW w:w="1500" w:type="dxa"/>
            <w:shd w:val="clear" w:color="auto" fill="F8FAFC"/>
          </w:tcPr>
          <w:p>
            <w:pPr>
              <w:jc w:val="right"/>
              <w:spacing w:before="40" w:after="40"/>
            </w:pPr>
            <w:r>
              <w:rPr>
                <w:sz w:val="18"/>
                <w:color w:val="18181B"/>
              </w:rPr>
              <w:t>17</w:t>
            </w:r>
          </w:p>
        </w:tc>
        <w:tc>
          <w:tcPr>
            <w:tcW w:w="1200" w:type="dxa"/>
            <w:shd w:val="clear" w:color="auto" fill="F8FAFC"/>
          </w:tcPr>
          <w:p>
            <w:pPr>
              <w:jc w:val="right"/>
              <w:spacing w:before="40" w:after="40"/>
            </w:pPr>
            <w:r>
              <w:rPr>
                <w:sz w:val="18"/>
                <w:color w:val="18181B"/>
              </w:rPr>
              <w:t>5</w:t>
            </w:r>
          </w:p>
        </w:tc>
        <w:tc>
          <w:tcPr>
            <w:tcW w:w="1600" w:type="dxa"/>
            <w:shd w:val="clear" w:color="auto" fill="F8FAFC"/>
          </w:tcPr>
          <w:p>
            <w:pPr>
              <w:jc w:val="right"/>
              <w:spacing w:before="40" w:after="40"/>
            </w:pPr>
            <w:r>
              <w:rPr>
                <w:sz w:val="18"/>
                <w:color w:val="18181B"/>
              </w:rPr>
              <w:t>16</w:t>
            </w:r>
          </w:p>
        </w:tc>
      </w:tr>
      <w:tr>
        <w:tc>
          <w:tcPr>
            <w:tcW w:w="1400" w:type="dxa"/>
            <w:shd w:val="clear" w:color="auto"/>
          </w:tcPr>
          <w:p>
            <w:pPr>
              <w:spacing w:before="40" w:after="40"/>
            </w:pPr>
            <w:r>
              <w:rPr>
                <w:sz w:val="18"/>
                <w:color w:val="18181B"/>
              </w:rPr>
              <w:t>2020s</w:t>
            </w:r>
          </w:p>
        </w:tc>
        <w:tc>
          <w:tcPr>
            <w:tcW w:w="1400" w:type="dxa"/>
            <w:shd w:val="clear" w:color="auto"/>
          </w:tcPr>
          <w:p>
            <w:pPr>
              <w:jc w:val="right"/>
              <w:spacing w:before="40" w:after="40"/>
            </w:pPr>
            <w:r>
              <w:rPr>
                <w:sz w:val="18"/>
                <w:color w:val="18181B"/>
              </w:rPr>
              <w:t>199</w:t>
            </w:r>
          </w:p>
        </w:tc>
        <w:tc>
          <w:tcPr>
            <w:tcW w:w="1200" w:type="dxa"/>
            <w:shd w:val="clear" w:color="auto"/>
          </w:tcPr>
          <w:p>
            <w:pPr>
              <w:jc w:val="right"/>
              <w:spacing w:before="40" w:after="40"/>
            </w:pPr>
            <w:r>
              <w:rPr>
                <w:sz w:val="18"/>
                <w:color w:val="18181B"/>
              </w:rPr>
              <w:t>104</w:t>
            </w:r>
          </w:p>
        </w:tc>
        <w:tc>
          <w:tcPr>
            <w:tcW w:w="1500" w:type="dxa"/>
            <w:shd w:val="clear" w:color="auto"/>
          </w:tcPr>
          <w:p>
            <w:pPr>
              <w:jc w:val="right"/>
              <w:spacing w:before="40" w:after="40"/>
            </w:pPr>
            <w:r>
              <w:rPr>
                <w:sz w:val="18"/>
                <w:color w:val="18181B"/>
              </w:rPr>
              <w:t>15</w:t>
            </w:r>
          </w:p>
        </w:tc>
        <w:tc>
          <w:tcPr>
            <w:tcW w:w="1200" w:type="dxa"/>
            <w:shd w:val="clear" w:color="auto"/>
          </w:tcPr>
          <w:p>
            <w:pPr>
              <w:jc w:val="right"/>
              <w:spacing w:before="40" w:after="40"/>
            </w:pPr>
            <w:r>
              <w:rPr>
                <w:sz w:val="18"/>
                <w:color w:val="18181B"/>
              </w:rPr>
              <w:t>16</w:t>
            </w:r>
          </w:p>
        </w:tc>
        <w:tc>
          <w:tcPr>
            <w:tcW w:w="1600" w:type="dxa"/>
            <w:shd w:val="clear" w:color="auto"/>
          </w:tcPr>
          <w:p>
            <w:pPr>
              <w:jc w:val="right"/>
              <w:spacing w:before="40" w:after="40"/>
            </w:pPr>
            <w:r>
              <w:rPr>
                <w:sz w:val="18"/>
                <w:color w:val="18181B"/>
              </w:rPr>
              <w:t>64</w:t>
            </w:r>
          </w:p>
        </w:tc>
      </w:tr>
      <w:tr>
        <w:tc>
          <w:tcPr>
            <w:tcW w:w="1400" w:type="dxa"/>
            <w:shd w:val="clear" w:color="auto" fill="F8FAFC"/>
          </w:tcPr>
          <w:p>
            <w:pPr>
              <w:spacing w:before="40" w:after="40"/>
            </w:pPr>
            <w:r>
              <w:rPr>
                <w:sz w:val="18"/>
                <w:color w:val="18181B"/>
              </w:rPr>
              <w:t>Total</w:t>
            </w:r>
          </w:p>
        </w:tc>
        <w:tc>
          <w:tcPr>
            <w:tcW w:w="1400" w:type="dxa"/>
            <w:shd w:val="clear" w:color="auto" fill="F8FAFC"/>
          </w:tcPr>
          <w:p>
            <w:pPr>
              <w:jc w:val="right"/>
              <w:spacing w:before="40" w:after="40"/>
            </w:pPr>
            <w:r>
              <w:rPr>
                <w:sz w:val="18"/>
                <w:color w:val="18181B"/>
              </w:rPr>
              <w:t>773</w:t>
            </w:r>
          </w:p>
        </w:tc>
        <w:tc>
          <w:tcPr>
            <w:tcW w:w="1200" w:type="dxa"/>
            <w:shd w:val="clear" w:color="auto" fill="F8FAFC"/>
          </w:tcPr>
          <w:p>
            <w:pPr>
              <w:jc w:val="right"/>
              <w:spacing w:before="40" w:after="40"/>
            </w:pPr>
            <w:r>
              <w:rPr>
                <w:sz w:val="18"/>
                <w:color w:val="18181B"/>
              </w:rPr>
              <w:t>460</w:t>
            </w:r>
          </w:p>
        </w:tc>
        <w:tc>
          <w:tcPr>
            <w:tcW w:w="1500" w:type="dxa"/>
            <w:shd w:val="clear" w:color="auto" fill="F8FAFC"/>
          </w:tcPr>
          <w:p>
            <w:pPr>
              <w:jc w:val="right"/>
              <w:spacing w:before="40" w:after="40"/>
            </w:pPr>
            <w:r>
              <w:rPr>
                <w:sz w:val="18"/>
                <w:color w:val="18181B"/>
              </w:rPr>
              <w:t>131</w:t>
            </w:r>
          </w:p>
        </w:tc>
        <w:tc>
          <w:tcPr>
            <w:tcW w:w="1200" w:type="dxa"/>
            <w:shd w:val="clear" w:color="auto" fill="F8FAFC"/>
          </w:tcPr>
          <w:p>
            <w:pPr>
              <w:jc w:val="right"/>
              <w:spacing w:before="40" w:after="40"/>
            </w:pPr>
            <w:r>
              <w:rPr>
                <w:sz w:val="18"/>
                <w:color w:val="18181B"/>
              </w:rPr>
              <w:t>27</w:t>
            </w:r>
          </w:p>
        </w:tc>
        <w:tc>
          <w:tcPr>
            <w:tcW w:w="1600" w:type="dxa"/>
            <w:shd w:val="clear" w:color="auto" fill="F8FAFC"/>
          </w:tcPr>
          <w:p>
            <w:pPr>
              <w:jc w:val="right"/>
              <w:spacing w:before="40" w:after="40"/>
            </w:pPr>
            <w:r>
              <w:rPr>
                <w:sz w:val="18"/>
                <w:color w:val="18181B"/>
              </w:rPr>
              <w:t>155</w:t>
            </w:r>
          </w:p>
        </w:tc>
      </w:tr>
    </w:tbl>
    <w:p>
      <w:pPr>
        <w:spacing w:before="200" w:after="80" w:line="276" w:lineRule="auto"/>
      </w:pPr>
      <w:r>
        <w:rPr>
          <w:b/>
          <w:sz w:val="24"/>
          <w:color w:val="1E293B"/>
        </w:rPr>
        <w:t xml:space="preserve">3.2 National Operating Paradigms and Duration Fingerprints</w:t>
      </w:r>
    </w:p>
    <w:p>
      <w:pPr>
        <w:spacing w:before="0" w:after="140" w:line="276" w:lineRule="auto"/>
      </w:pPr>
      <w:r>
        <w:rPr>
          <w:sz w:val="22"/>
          <w:color w:val="18181B"/>
        </w:rPr>
        <w:t xml:space="preserve">Cumulative career duration reveals stark national divergence in operational culture (Figures 2, 3, and 4; Table 2):</w:t>
      </w:r>
    </w:p>
    <w:p>
      <w:pPr>
        <w:spacing w:before="0" w:after="140" w:line="276" w:lineRule="auto"/>
      </w:pPr>
      <w:r>
        <w:rPr>
          <w:sz w:val="22"/>
          <w:color w:val="18181B"/>
        </w:rPr>
        <w:t xml:space="preserve">• United States: 460 astronauts (59.5%), median career duration of 19.8 days. Driven by 7-person Space Shuttle crews and recent commercial suborbital flights.</w:t>
      </w:r>
    </w:p>
    <w:p>
      <w:pPr>
        <w:spacing w:before="0" w:after="140" w:line="276" w:lineRule="auto"/>
      </w:pPr>
      <w:r>
        <w:rPr>
          <w:sz w:val="22"/>
          <w:color w:val="18181B"/>
        </w:rPr>
        <w:t xml:space="preserve">• Russia / USSR: 131 cosmonauts (16.9%), median career duration of 194.8 days (~10x higher) and the world record career total of 1,110.6 cumulative days (Oleg Kononenko).</w:t>
      </w:r>
    </w:p>
    <w:p>
      <w:pPr>
        <w:spacing w:before="0" w:after="140" w:line="276" w:lineRule="auto"/>
      </w:pPr>
      <w:r>
        <w:rPr>
          <w:sz w:val="22"/>
          <w:color w:val="18181B"/>
        </w:rPr>
        <w:t xml:space="preserve">• China: 27 astronauts (3.5%), all post-2003 with a median career duration of 192.2 days, concentrating in 6-month Tiangong station increments.</w:t>
      </w:r>
    </w:p>
    <w:p>
      <w:pPr>
        <w:spacing w:before="0" w:after="140" w:line="276" w:lineRule="auto"/>
      </w:pPr>
      <w:r>
        <w:rPr>
          <w:sz w:val="22"/>
          <w:color w:val="18181B"/>
        </w:rPr>
        <w:t xml:space="preserve">• Other Nations: 155 astronauts (20.1%), exhibiting a median career duration of 9.1 days.</w:t>
      </w:r>
    </w:p>
    <w:p>
      <w:pPr>
        <w:jc w:val="center"/>
        <w:spacing w:before="120" w:after="60"/>
      </w:pPr>
      <w:r>
        <w:drawing>
          <wp:inline xmlns:wp="http://schemas.openxmlformats.org/drawingml/2006/wordprocessingDrawing" distT="0" distB="0" distL="0" distR="0">
            <wp:extent cx="5400000" cy="2800000"/>
            <wp:docPr id="1" name="Figure"/>
            <a:graphic xmlns:a="http://schemas.openxmlformats.org/drawingml/2006/main">
              <a:graphicData uri="http://schemas.openxmlformats.org/drawingml/2006/picture">
                <pic:pic xmlns:pic="http://schemas.openxmlformats.org/drawingml/2006/picture">
                  <pic:nvPicPr>
                    <pic:cNvPr id="0" name="Picture"/>
                    <pic:cNvPicPr/>
                  </pic:nvPicPr>
                  <pic:blipFill>
                    <a:blip xmlns:r="http://schemas.openxmlformats.org/officeDocument/2006/relationships" r:embed="rIdImg11"/>
                    <a:stretch>
                      <a:fillRect/>
                    </a:stretch>
                  </pic:blipFill>
                  <pic:spPr>
                    <a:xfrm>
                      <a:off x="0" y="0"/>
                      <a:ext cx="5400000" cy="2800000"/>
                    </a:xfrm>
                    <a:prstGeom prst="rect">
                      <a:avLst/>
                    </a:prstGeom>
                  </pic:spPr>
                </pic:pic>
              </a:graphicData>
            </a:graphic>
          </wp:inline>
        </w:drawing>
      </w:r>
    </w:p>
    <w:p>
      <w:pPr>
        <w:spacing w:before="0" w:after="160" w:line="276" w:lineRule="auto"/>
      </w:pPr>
      <w:r>
        <w:rPr>
          <w:i/>
          <w:sz w:val="18"/>
          <w:color w:val="475569"/>
        </w:rPr>
        <w:t xml:space="preserve">Figure 2 | Career time in space (days, log scale) by citizenship group.</w:t>
      </w:r>
    </w:p>
    <w:p>
      <w:pPr>
        <w:jc w:val="center"/>
        <w:spacing w:before="120" w:after="60"/>
      </w:pPr>
      <w:r>
        <w:drawing>
          <wp:inline xmlns:wp="http://schemas.openxmlformats.org/drawingml/2006/wordprocessingDrawing" distT="0" distB="0" distL="0" distR="0">
            <wp:extent cx="5000000" cy="3800000"/>
            <wp:docPr id="1" name="Figure"/>
            <a:graphic xmlns:a="http://schemas.openxmlformats.org/drawingml/2006/main">
              <a:graphicData uri="http://schemas.openxmlformats.org/drawingml/2006/picture">
                <pic:pic xmlns:pic="http://schemas.openxmlformats.org/drawingml/2006/picture">
                  <pic:nvPicPr>
                    <pic:cNvPr id="0" name="Picture"/>
                    <pic:cNvPicPr/>
                  </pic:nvPicPr>
                  <pic:blipFill>
                    <a:blip xmlns:r="http://schemas.openxmlformats.org/officeDocument/2006/relationships" r:embed="rIdImg13"/>
                    <a:stretch>
                      <a:fillRect/>
                    </a:stretch>
                  </pic:blipFill>
                  <pic:spPr>
                    <a:xfrm>
                      <a:off x="0" y="0"/>
                      <a:ext cx="5000000" cy="3800000"/>
                    </a:xfrm>
                    <a:prstGeom prst="rect">
                      <a:avLst/>
                    </a:prstGeom>
                  </pic:spPr>
                </pic:pic>
              </a:graphicData>
            </a:graphic>
          </wp:inline>
        </w:drawing>
      </w:r>
    </w:p>
    <w:p>
      <w:pPr>
        <w:spacing w:before="0" w:after="160" w:line="276" w:lineRule="auto"/>
      </w:pPr>
      <w:r>
        <w:rPr>
          <w:i/>
          <w:sz w:val="18"/>
          <w:color w:val="475569"/>
        </w:rPr>
        <w:t xml:space="preserve">Figure 4 | Duration profile radar: normalized national fingerprints across the five duration bands.</w:t>
      </w:r>
    </w:p>
    <w:p>
      <w:pPr>
        <w:jc w:val="center"/>
        <w:spacing w:before="120" w:after="60"/>
      </w:pPr>
      <w:r>
        <w:drawing>
          <wp:inline xmlns:wp="http://schemas.openxmlformats.org/drawingml/2006/wordprocessingDrawing" distT="0" distB="0" distL="0" distR="0">
            <wp:extent cx="5400000" cy="2500000"/>
            <wp:docPr id="1" name="Figure"/>
            <a:graphic xmlns:a="http://schemas.openxmlformats.org/drawingml/2006/main">
              <a:graphicData uri="http://schemas.openxmlformats.org/drawingml/2006/picture">
                <pic:pic xmlns:pic="http://schemas.openxmlformats.org/drawingml/2006/picture">
                  <pic:nvPicPr>
                    <pic:cNvPr id="0" name="Picture"/>
                    <pic:cNvPicPr/>
                  </pic:nvPicPr>
                  <pic:blipFill>
                    <a:blip xmlns:r="http://schemas.openxmlformats.org/officeDocument/2006/relationships" r:embed="rIdImg12"/>
                    <a:stretch>
                      <a:fillRect/>
                    </a:stretch>
                  </pic:blipFill>
                  <pic:spPr>
                    <a:xfrm>
                      <a:off x="0" y="0"/>
                      <a:ext cx="5400000" cy="2500000"/>
                    </a:xfrm>
                    <a:prstGeom prst="rect">
                      <a:avLst/>
                    </a:prstGeom>
                  </pic:spPr>
                </pic:pic>
              </a:graphicData>
            </a:graphic>
          </wp:inline>
        </w:drawing>
      </w:r>
    </w:p>
    <w:p>
      <w:pPr>
        <w:spacing w:before="0" w:after="160" w:line="276" w:lineRule="auto"/>
      </w:pPr>
      <w:r>
        <w:rPr>
          <w:i/>
          <w:sz w:val="18"/>
          <w:color w:val="475569"/>
        </w:rPr>
        <w:t xml:space="preserve">Figure 3 | Total flown astronauts by country (1961–2026).</w:t>
      </w:r>
    </w:p>
    <w:tbl>
      <w:tblPr>
        <w:tblW w:w="8200" w:type="dxa"/>
        <w:tblBorders>
          <w:top w:val="single" w:sz="4" w:space="0" w:color="E2E8F0"/>
          <w:left w:val="single" w:sz="4" w:space="0" w:color="E2E8F0"/>
          <w:bottom w:val="single" w:sz="8" w:space="0" w:color="CBD5E1"/>
          <w:right w:val="single" w:sz="4" w:space="0" w:color="E2E8F0"/>
          <w:insideH w:val="single" w:sz="4" w:space="0" w:color="E2E8F0"/>
          <w:insideV w:val="single" w:sz="4" w:space="0" w:color="E2E8F0"/>
        </w:tblBorders>
      </w:tblPr>
      <w:tblGrid>
        <w:gridCol w:w="1800"/>
        <w:gridCol w:w="1400"/>
        <w:gridCol w:w="1400"/>
        <w:gridCol w:w="1800"/>
        <w:gridCol w:w="1800"/>
      </w:tblGrid>
      <w:tr>
        <w:trPr>
          <w:tblHeader/>
        </w:trPr>
        <w:tc>
          <w:tcPr>
            <w:tcW w:w="1800" w:type="dxa"/>
            <w:shd w:val="clear" w:color="auto" w:fill="F1F5F9"/>
          </w:tcPr>
          <w:p>
            <w:pPr>
              <w:spacing w:before="60" w:after="60"/>
            </w:pPr>
            <w:r>
              <w:rPr>
                <w:b/>
                <w:sz w:val="18"/>
                <w:color w:val="0F172A"/>
              </w:rPr>
              <w:t>Country</w:t>
            </w:r>
          </w:p>
        </w:tc>
        <w:tc>
          <w:tcPr>
            <w:tcW w:w="1400" w:type="dxa"/>
            <w:shd w:val="clear" w:color="auto" w:fill="F1F5F9"/>
          </w:tcPr>
          <w:p>
            <w:pPr>
              <w:spacing w:before="60" w:after="60"/>
            </w:pPr>
            <w:r>
              <w:rPr>
                <w:b/>
                <w:sz w:val="18"/>
                <w:color w:val="0F172A"/>
              </w:rPr>
              <w:t>Astronauts</w:t>
            </w:r>
          </w:p>
        </w:tc>
        <w:tc>
          <w:tcPr>
            <w:tcW w:w="1400" w:type="dxa"/>
            <w:shd w:val="clear" w:color="auto" w:fill="F1F5F9"/>
          </w:tcPr>
          <w:p>
            <w:pPr>
              <w:spacing w:before="60" w:after="60"/>
            </w:pPr>
            <w:r>
              <w:rPr>
                <w:b/>
                <w:sz w:val="18"/>
                <w:color w:val="0F172A"/>
              </w:rPr>
              <w:t>Global Share</w:t>
            </w:r>
          </w:p>
        </w:tc>
        <w:tc>
          <w:tcPr>
            <w:tcW w:w="1800" w:type="dxa"/>
            <w:shd w:val="clear" w:color="auto" w:fill="F1F5F9"/>
          </w:tcPr>
          <w:p>
            <w:pPr>
              <w:spacing w:before="60" w:after="60"/>
            </w:pPr>
            <w:r>
              <w:rPr>
                <w:b/>
                <w:sz w:val="18"/>
                <w:color w:val="0F172A"/>
              </w:rPr>
              <w:t>Median Career (d)</w:t>
            </w:r>
          </w:p>
        </w:tc>
        <w:tc>
          <w:tcPr>
            <w:tcW w:w="1800" w:type="dxa"/>
            <w:shd w:val="clear" w:color="auto" w:fill="F1F5F9"/>
          </w:tcPr>
          <w:p>
            <w:pPr>
              <w:spacing w:before="60" w:after="60"/>
            </w:pPr>
            <w:r>
              <w:rPr>
                <w:b/>
                <w:sz w:val="18"/>
                <w:color w:val="0F172A"/>
              </w:rPr>
              <w:t>Max Career (d)</w:t>
            </w:r>
          </w:p>
        </w:tc>
      </w:tr>
      <w:tr>
        <w:tc>
          <w:tcPr>
            <w:tcW w:w="1800" w:type="dxa"/>
            <w:shd w:val="clear" w:color="auto"/>
          </w:tcPr>
          <w:p>
            <w:pPr>
              <w:spacing w:before="40" w:after="40"/>
            </w:pPr>
            <w:r>
              <w:rPr>
                <w:sz w:val="18"/>
                <w:color w:val="18181B"/>
              </w:rPr>
              <w:t>USA</w:t>
            </w:r>
          </w:p>
        </w:tc>
        <w:tc>
          <w:tcPr>
            <w:tcW w:w="1400" w:type="dxa"/>
            <w:shd w:val="clear" w:color="auto"/>
          </w:tcPr>
          <w:p>
            <w:pPr>
              <w:jc w:val="right"/>
              <w:spacing w:before="40" w:after="40"/>
            </w:pPr>
            <w:r>
              <w:rPr>
                <w:sz w:val="18"/>
                <w:color w:val="18181B"/>
              </w:rPr>
              <w:t>460</w:t>
            </w:r>
          </w:p>
        </w:tc>
        <w:tc>
          <w:tcPr>
            <w:tcW w:w="1400" w:type="dxa"/>
            <w:shd w:val="clear" w:color="auto"/>
          </w:tcPr>
          <w:p>
            <w:pPr>
              <w:jc w:val="right"/>
              <w:spacing w:before="40" w:after="40"/>
            </w:pPr>
            <w:r>
              <w:rPr>
                <w:sz w:val="18"/>
                <w:color w:val="18181B"/>
              </w:rPr>
              <w:t>59.5%</w:t>
            </w:r>
          </w:p>
        </w:tc>
        <w:tc>
          <w:tcPr>
            <w:tcW w:w="1800" w:type="dxa"/>
            <w:shd w:val="clear" w:color="auto"/>
          </w:tcPr>
          <w:p>
            <w:pPr>
              <w:jc w:val="right"/>
              <w:spacing w:before="40" w:after="40"/>
            </w:pPr>
            <w:r>
              <w:rPr>
                <w:sz w:val="18"/>
                <w:color w:val="18181B"/>
              </w:rPr>
              <w:t>19.8</w:t>
            </w:r>
          </w:p>
        </w:tc>
        <w:tc>
          <w:tcPr>
            <w:tcW w:w="1800" w:type="dxa"/>
            <w:shd w:val="clear" w:color="auto"/>
          </w:tcPr>
          <w:p>
            <w:pPr>
              <w:jc w:val="right"/>
              <w:spacing w:before="40" w:after="40"/>
            </w:pPr>
            <w:r>
              <w:rPr>
                <w:sz w:val="18"/>
                <w:color w:val="18181B"/>
              </w:rPr>
              <w:t>695.3</w:t>
            </w:r>
          </w:p>
        </w:tc>
      </w:tr>
      <w:tr>
        <w:tc>
          <w:tcPr>
            <w:tcW w:w="1800" w:type="dxa"/>
            <w:shd w:val="clear" w:color="auto" fill="F8FAFC"/>
          </w:tcPr>
          <w:p>
            <w:pPr>
              <w:spacing w:before="40" w:after="40"/>
            </w:pPr>
            <w:r>
              <w:rPr>
                <w:sz w:val="18"/>
                <w:color w:val="18181B"/>
              </w:rPr>
              <w:t>Russia / USSR</w:t>
            </w:r>
          </w:p>
        </w:tc>
        <w:tc>
          <w:tcPr>
            <w:tcW w:w="1400" w:type="dxa"/>
            <w:shd w:val="clear" w:color="auto" fill="F8FAFC"/>
          </w:tcPr>
          <w:p>
            <w:pPr>
              <w:jc w:val="right"/>
              <w:spacing w:before="40" w:after="40"/>
            </w:pPr>
            <w:r>
              <w:rPr>
                <w:sz w:val="18"/>
                <w:color w:val="18181B"/>
              </w:rPr>
              <w:t>131</w:t>
            </w:r>
          </w:p>
        </w:tc>
        <w:tc>
          <w:tcPr>
            <w:tcW w:w="1400" w:type="dxa"/>
            <w:shd w:val="clear" w:color="auto" fill="F8FAFC"/>
          </w:tcPr>
          <w:p>
            <w:pPr>
              <w:jc w:val="right"/>
              <w:spacing w:before="40" w:after="40"/>
            </w:pPr>
            <w:r>
              <w:rPr>
                <w:sz w:val="18"/>
                <w:color w:val="18181B"/>
              </w:rPr>
              <w:t>16.9%</w:t>
            </w:r>
          </w:p>
        </w:tc>
        <w:tc>
          <w:tcPr>
            <w:tcW w:w="1800" w:type="dxa"/>
            <w:shd w:val="clear" w:color="auto" fill="F8FAFC"/>
          </w:tcPr>
          <w:p>
            <w:pPr>
              <w:jc w:val="right"/>
              <w:spacing w:before="40" w:after="40"/>
            </w:pPr>
            <w:r>
              <w:rPr>
                <w:sz w:val="18"/>
                <w:color w:val="18181B"/>
              </w:rPr>
              <w:t>194.8</w:t>
            </w:r>
          </w:p>
        </w:tc>
        <w:tc>
          <w:tcPr>
            <w:tcW w:w="1800" w:type="dxa"/>
            <w:shd w:val="clear" w:color="auto" fill="F8FAFC"/>
          </w:tcPr>
          <w:p>
            <w:pPr>
              <w:spacing w:before="40" w:after="40"/>
            </w:pPr>
            <w:r>
              <w:rPr>
                <w:sz w:val="18"/>
                <w:color w:val="18181B"/>
              </w:rPr>
              <w:t>1,110.6</w:t>
            </w:r>
          </w:p>
        </w:tc>
      </w:tr>
      <w:tr>
        <w:tc>
          <w:tcPr>
            <w:tcW w:w="1800" w:type="dxa"/>
            <w:shd w:val="clear" w:color="auto"/>
          </w:tcPr>
          <w:p>
            <w:pPr>
              <w:spacing w:before="40" w:after="40"/>
            </w:pPr>
            <w:r>
              <w:rPr>
                <w:sz w:val="18"/>
                <w:color w:val="18181B"/>
              </w:rPr>
              <w:t>China</w:t>
            </w:r>
          </w:p>
        </w:tc>
        <w:tc>
          <w:tcPr>
            <w:tcW w:w="1400" w:type="dxa"/>
            <w:shd w:val="clear" w:color="auto"/>
          </w:tcPr>
          <w:p>
            <w:pPr>
              <w:jc w:val="right"/>
              <w:spacing w:before="40" w:after="40"/>
            </w:pPr>
            <w:r>
              <w:rPr>
                <w:sz w:val="18"/>
                <w:color w:val="18181B"/>
              </w:rPr>
              <w:t>27</w:t>
            </w:r>
          </w:p>
        </w:tc>
        <w:tc>
          <w:tcPr>
            <w:tcW w:w="1400" w:type="dxa"/>
            <w:shd w:val="clear" w:color="auto"/>
          </w:tcPr>
          <w:p>
            <w:pPr>
              <w:jc w:val="right"/>
              <w:spacing w:before="40" w:after="40"/>
            </w:pPr>
            <w:r>
              <w:rPr>
                <w:sz w:val="18"/>
                <w:color w:val="18181B"/>
              </w:rPr>
              <w:t>3.5%</w:t>
            </w:r>
          </w:p>
        </w:tc>
        <w:tc>
          <w:tcPr>
            <w:tcW w:w="1800" w:type="dxa"/>
            <w:shd w:val="clear" w:color="auto"/>
          </w:tcPr>
          <w:p>
            <w:pPr>
              <w:jc w:val="right"/>
              <w:spacing w:before="40" w:after="40"/>
            </w:pPr>
            <w:r>
              <w:rPr>
                <w:sz w:val="18"/>
                <w:color w:val="18181B"/>
              </w:rPr>
              <w:t>192.2</w:t>
            </w:r>
          </w:p>
        </w:tc>
        <w:tc>
          <w:tcPr>
            <w:tcW w:w="1800" w:type="dxa"/>
            <w:shd w:val="clear" w:color="auto"/>
          </w:tcPr>
          <w:p>
            <w:pPr>
              <w:jc w:val="right"/>
              <w:spacing w:before="40" w:after="40"/>
            </w:pPr>
            <w:r>
              <w:rPr>
                <w:sz w:val="18"/>
                <w:color w:val="18181B"/>
              </w:rPr>
              <w:t>418.6</w:t>
            </w:r>
          </w:p>
        </w:tc>
      </w:tr>
      <w:tr>
        <w:tc>
          <w:tcPr>
            <w:tcW w:w="1800" w:type="dxa"/>
            <w:shd w:val="clear" w:color="auto" fill="F8FAFC"/>
          </w:tcPr>
          <w:p>
            <w:pPr>
              <w:spacing w:before="40" w:after="40"/>
            </w:pPr>
            <w:r>
              <w:rPr>
                <w:sz w:val="18"/>
                <w:color w:val="18181B"/>
              </w:rPr>
              <w:t>Other Nations</w:t>
            </w:r>
          </w:p>
        </w:tc>
        <w:tc>
          <w:tcPr>
            <w:tcW w:w="1400" w:type="dxa"/>
            <w:shd w:val="clear" w:color="auto" fill="F8FAFC"/>
          </w:tcPr>
          <w:p>
            <w:pPr>
              <w:jc w:val="right"/>
              <w:spacing w:before="40" w:after="40"/>
            </w:pPr>
            <w:r>
              <w:rPr>
                <w:sz w:val="18"/>
                <w:color w:val="18181B"/>
              </w:rPr>
              <w:t>155</w:t>
            </w:r>
          </w:p>
        </w:tc>
        <w:tc>
          <w:tcPr>
            <w:tcW w:w="1400" w:type="dxa"/>
            <w:shd w:val="clear" w:color="auto" fill="F8FAFC"/>
          </w:tcPr>
          <w:p>
            <w:pPr>
              <w:jc w:val="right"/>
              <w:spacing w:before="40" w:after="40"/>
            </w:pPr>
            <w:r>
              <w:rPr>
                <w:sz w:val="18"/>
                <w:color w:val="18181B"/>
              </w:rPr>
              <w:t>20.1%</w:t>
            </w:r>
          </w:p>
        </w:tc>
        <w:tc>
          <w:tcPr>
            <w:tcW w:w="1800" w:type="dxa"/>
            <w:shd w:val="clear" w:color="auto" fill="F8FAFC"/>
          </w:tcPr>
          <w:p>
            <w:pPr>
              <w:jc w:val="right"/>
              <w:spacing w:before="40" w:after="40"/>
            </w:pPr>
            <w:r>
              <w:rPr>
                <w:sz w:val="18"/>
                <w:color w:val="18181B"/>
              </w:rPr>
              <w:t>9.1</w:t>
            </w:r>
          </w:p>
        </w:tc>
        <w:tc>
          <w:tcPr>
            <w:tcW w:w="1800" w:type="dxa"/>
            <w:shd w:val="clear" w:color="auto" fill="F8FAFC"/>
          </w:tcPr>
          <w:p>
            <w:pPr>
              <w:jc w:val="right"/>
              <w:spacing w:before="40" w:after="40"/>
            </w:pPr>
            <w:r>
              <w:rPr>
                <w:sz w:val="18"/>
                <w:color w:val="18181B"/>
              </w:rPr>
              <w:t>545.1</w:t>
            </w:r>
          </w:p>
        </w:tc>
      </w:tr>
      <w:tr>
        <w:tc>
          <w:tcPr>
            <w:tcW w:w="1800" w:type="dxa"/>
            <w:shd w:val="clear" w:color="auto"/>
          </w:tcPr>
          <w:p>
            <w:pPr>
              <w:spacing w:before="40" w:after="40"/>
            </w:pPr>
            <w:r>
              <w:rPr>
                <w:sz w:val="18"/>
                <w:color w:val="18181B"/>
              </w:rPr>
              <w:t>Overall Total</w:t>
            </w:r>
          </w:p>
        </w:tc>
        <w:tc>
          <w:tcPr>
            <w:tcW w:w="1400" w:type="dxa"/>
            <w:shd w:val="clear" w:color="auto"/>
          </w:tcPr>
          <w:p>
            <w:pPr>
              <w:jc w:val="right"/>
              <w:spacing w:before="40" w:after="40"/>
            </w:pPr>
            <w:r>
              <w:rPr>
                <w:sz w:val="18"/>
                <w:color w:val="18181B"/>
              </w:rPr>
              <w:t>773</w:t>
            </w:r>
          </w:p>
        </w:tc>
        <w:tc>
          <w:tcPr>
            <w:tcW w:w="1400" w:type="dxa"/>
            <w:shd w:val="clear" w:color="auto"/>
          </w:tcPr>
          <w:p>
            <w:pPr>
              <w:jc w:val="right"/>
              <w:spacing w:before="40" w:after="40"/>
            </w:pPr>
            <w:r>
              <w:rPr>
                <w:sz w:val="18"/>
                <w:color w:val="18181B"/>
              </w:rPr>
              <w:t>100.0%</w:t>
            </w:r>
          </w:p>
        </w:tc>
        <w:tc>
          <w:tcPr>
            <w:tcW w:w="1800" w:type="dxa"/>
            <w:shd w:val="clear" w:color="auto"/>
          </w:tcPr>
          <w:p>
            <w:pPr>
              <w:jc w:val="right"/>
              <w:spacing w:before="40" w:after="40"/>
            </w:pPr>
            <w:r>
              <w:rPr>
                <w:sz w:val="18"/>
                <w:color w:val="18181B"/>
              </w:rPr>
              <w:t>21.2</w:t>
            </w:r>
          </w:p>
        </w:tc>
        <w:tc>
          <w:tcPr>
            <w:tcW w:w="1800" w:type="dxa"/>
            <w:shd w:val="clear" w:color="auto"/>
          </w:tcPr>
          <w:p>
            <w:pPr>
              <w:spacing w:before="40" w:after="40"/>
            </w:pPr>
            <w:r>
              <w:rPr>
                <w:sz w:val="18"/>
                <w:color w:val="18181B"/>
              </w:rPr>
              <w:t>1,110.6</w:t>
            </w:r>
          </w:p>
        </w:tc>
      </w:tr>
    </w:tbl>
    <w:p>
      <w:pPr>
        <w:spacing w:before="200" w:after="80" w:line="276" w:lineRule="auto"/>
      </w:pPr>
      <w:r>
        <w:rPr>
          <w:b/>
          <w:sz w:val="24"/>
          <w:color w:val="1E293B"/>
        </w:rPr>
        <w:t xml:space="preserve">3.3 The Commercial and Suborbital Inflection Point</w:t>
      </w:r>
    </w:p>
    <w:p>
      <w:pPr>
        <w:spacing w:before="0" w:after="140" w:line="276" w:lineRule="auto"/>
      </w:pPr>
      <w:r>
        <w:rPr>
          <w:sz w:val="22"/>
          <w:color w:val="18181B"/>
        </w:rPr>
        <w:t xml:space="preserve">Of 773 astronauts, 637 (82.4%) achieved orbit and 136 (17.6%) flew exclusively on suborbital trajectories (Figure 6, Table 3, Table 4). Crucially, 123 of the 136 suborbital flyers debuted in 2021 or later on commercial vehicles (Blue Origin New Shepard and Virgin Galactic); the other 13 are X-15 pilots (1962–67), SpaceShipOne pilots (2004) and Virgin Galactic test crew (2018–19). The Mercury suborbital astronauts Shepard and Grissom later reached orbit and are counted as Orbital. Suborbital flights are exclusively confined to the US (91 flyers) and international commercial guests (45 flyers); Russia and China have flown zero suborbital-only astronauts.</w:t>
      </w:r>
    </w:p>
    <w:p>
      <w:pPr>
        <w:jc w:val="center"/>
        <w:spacing w:before="120" w:after="60"/>
      </w:pPr>
      <w:r>
        <w:drawing>
          <wp:inline xmlns:wp="http://schemas.openxmlformats.org/drawingml/2006/wordprocessingDrawing" distT="0" distB="0" distL="0" distR="0">
            <wp:extent cx="5600000" cy="2400000"/>
            <wp:docPr id="1" name="Figure"/>
            <a:graphic xmlns:a="http://schemas.openxmlformats.org/drawingml/2006/main">
              <a:graphicData uri="http://schemas.openxmlformats.org/drawingml/2006/picture">
                <pic:pic xmlns:pic="http://schemas.openxmlformats.org/drawingml/2006/picture">
                  <pic:nvPicPr>
                    <pic:cNvPr id="0" name="Picture"/>
                    <pic:cNvPicPr/>
                  </pic:nvPicPr>
                  <pic:blipFill>
                    <a:blip xmlns:r="http://schemas.openxmlformats.org/officeDocument/2006/relationships" r:embed="rIdImg15"/>
                    <a:stretch>
                      <a:fillRect/>
                    </a:stretch>
                  </pic:blipFill>
                  <pic:spPr>
                    <a:xfrm>
                      <a:off x="0" y="0"/>
                      <a:ext cx="5600000" cy="2400000"/>
                    </a:xfrm>
                    <a:prstGeom prst="rect">
                      <a:avLst/>
                    </a:prstGeom>
                  </pic:spPr>
                </pic:pic>
              </a:graphicData>
            </a:graphic>
          </wp:inline>
        </w:drawing>
      </w:r>
    </w:p>
    <w:p>
      <w:pPr>
        <w:spacing w:before="0" w:after="160" w:line="276" w:lineRule="auto"/>
      </w:pPr>
      <w:r>
        <w:rPr>
          <w:i/>
          <w:sz w:val="18"/>
          <w:color w:val="475569"/>
        </w:rPr>
        <w:t xml:space="preserve">Figure 6 | Orbital vs. suborbital spaceflight debuts over time (1961–2026).</w:t>
      </w:r>
    </w:p>
    <w:tbl>
      <w:tblPr>
        <w:tblW w:w="8400" w:type="dxa"/>
        <w:tblBorders>
          <w:top w:val="single" w:sz="4" w:space="0" w:color="E2E8F0"/>
          <w:left w:val="single" w:sz="4" w:space="0" w:color="E2E8F0"/>
          <w:bottom w:val="single" w:sz="8" w:space="0" w:color="CBD5E1"/>
          <w:right w:val="single" w:sz="4" w:space="0" w:color="E2E8F0"/>
          <w:insideH w:val="single" w:sz="4" w:space="0" w:color="E2E8F0"/>
          <w:insideV w:val="single" w:sz="4" w:space="0" w:color="E2E8F0"/>
        </w:tblBorders>
      </w:tblPr>
      <w:tblGrid>
        <w:gridCol w:w="2200"/>
        <w:gridCol w:w="2000"/>
        <w:gridCol w:w="2000"/>
        <w:gridCol w:w="2200"/>
      </w:tblGrid>
      <w:tr>
        <w:trPr>
          <w:tblHeader/>
        </w:trPr>
        <w:tc>
          <w:tcPr>
            <w:tcW w:w="2200" w:type="dxa"/>
            <w:shd w:val="clear" w:color="auto" w:fill="F1F5F9"/>
          </w:tcPr>
          <w:p>
            <w:pPr>
              <w:spacing w:before="60" w:after="60"/>
            </w:pPr>
            <w:r>
              <w:rPr>
                <w:b/>
                <w:sz w:val="18"/>
                <w:color w:val="0F172A"/>
              </w:rPr>
              <w:t>Nationality Group</w:t>
            </w:r>
          </w:p>
        </w:tc>
        <w:tc>
          <w:tcPr>
            <w:tcW w:w="2000" w:type="dxa"/>
            <w:shd w:val="clear" w:color="auto" w:fill="F1F5F9"/>
          </w:tcPr>
          <w:p>
            <w:pPr>
              <w:spacing w:before="60" w:after="60"/>
            </w:pPr>
            <w:r>
              <w:rPr>
                <w:b/>
                <w:sz w:val="18"/>
                <w:color w:val="0F172A"/>
              </w:rPr>
              <w:t>Orbital Astronauts</w:t>
            </w:r>
          </w:p>
        </w:tc>
        <w:tc>
          <w:tcPr>
            <w:tcW w:w="2000" w:type="dxa"/>
            <w:shd w:val="clear" w:color="auto" w:fill="F1F5F9"/>
          </w:tcPr>
          <w:p>
            <w:pPr>
              <w:spacing w:before="60" w:after="60"/>
            </w:pPr>
            <w:r>
              <w:rPr>
                <w:b/>
                <w:sz w:val="18"/>
                <w:color w:val="0F172A"/>
              </w:rPr>
              <w:t>Suborbital Only</w:t>
            </w:r>
          </w:p>
        </w:tc>
        <w:tc>
          <w:tcPr>
            <w:tcW w:w="2200" w:type="dxa"/>
            <w:shd w:val="clear" w:color="auto" w:fill="F1F5F9"/>
          </w:tcPr>
          <w:p>
            <w:pPr>
              <w:spacing w:before="60" w:after="60"/>
            </w:pPr>
            <w:r>
              <w:rPr>
                <w:b/>
                <w:sz w:val="18"/>
                <w:color w:val="0F172A"/>
              </w:rPr>
              <w:t>Suborbital Proportion</w:t>
            </w:r>
          </w:p>
        </w:tc>
      </w:tr>
      <w:tr>
        <w:tc>
          <w:tcPr>
            <w:tcW w:w="2200" w:type="dxa"/>
            <w:shd w:val="clear" w:color="auto"/>
          </w:tcPr>
          <w:p>
            <w:pPr>
              <w:spacing w:before="40" w:after="40"/>
            </w:pPr>
            <w:r>
              <w:rPr>
                <w:sz w:val="18"/>
                <w:color w:val="18181B"/>
              </w:rPr>
              <w:t>USA</w:t>
            </w:r>
          </w:p>
        </w:tc>
        <w:tc>
          <w:tcPr>
            <w:tcW w:w="2000" w:type="dxa"/>
            <w:shd w:val="clear" w:color="auto"/>
          </w:tcPr>
          <w:p>
            <w:pPr>
              <w:jc w:val="right"/>
              <w:spacing w:before="40" w:after="40"/>
            </w:pPr>
            <w:r>
              <w:rPr>
                <w:sz w:val="18"/>
                <w:color w:val="18181B"/>
              </w:rPr>
              <w:t>369</w:t>
            </w:r>
          </w:p>
        </w:tc>
        <w:tc>
          <w:tcPr>
            <w:tcW w:w="2000" w:type="dxa"/>
            <w:shd w:val="clear" w:color="auto"/>
          </w:tcPr>
          <w:p>
            <w:pPr>
              <w:jc w:val="right"/>
              <w:spacing w:before="40" w:after="40"/>
            </w:pPr>
            <w:r>
              <w:rPr>
                <w:sz w:val="18"/>
                <w:color w:val="18181B"/>
              </w:rPr>
              <w:t>91</w:t>
            </w:r>
          </w:p>
        </w:tc>
        <w:tc>
          <w:tcPr>
            <w:tcW w:w="2200" w:type="dxa"/>
            <w:shd w:val="clear" w:color="auto"/>
          </w:tcPr>
          <w:p>
            <w:pPr>
              <w:jc w:val="right"/>
              <w:spacing w:before="40" w:after="40"/>
            </w:pPr>
            <w:r>
              <w:rPr>
                <w:sz w:val="18"/>
                <w:color w:val="18181B"/>
              </w:rPr>
              <w:t>19.8%</w:t>
            </w:r>
          </w:p>
        </w:tc>
      </w:tr>
      <w:tr>
        <w:tc>
          <w:tcPr>
            <w:tcW w:w="2200" w:type="dxa"/>
            <w:shd w:val="clear" w:color="auto" fill="F8FAFC"/>
          </w:tcPr>
          <w:p>
            <w:pPr>
              <w:spacing w:before="40" w:after="40"/>
            </w:pPr>
            <w:r>
              <w:rPr>
                <w:sz w:val="18"/>
                <w:color w:val="18181B"/>
              </w:rPr>
              <w:t>Russia / USSR</w:t>
            </w:r>
          </w:p>
        </w:tc>
        <w:tc>
          <w:tcPr>
            <w:tcW w:w="2000" w:type="dxa"/>
            <w:shd w:val="clear" w:color="auto" fill="F8FAFC"/>
          </w:tcPr>
          <w:p>
            <w:pPr>
              <w:jc w:val="right"/>
              <w:spacing w:before="40" w:after="40"/>
            </w:pPr>
            <w:r>
              <w:rPr>
                <w:sz w:val="18"/>
                <w:color w:val="18181B"/>
              </w:rPr>
              <w:t>131</w:t>
            </w:r>
          </w:p>
        </w:tc>
        <w:tc>
          <w:tcPr>
            <w:tcW w:w="2000" w:type="dxa"/>
            <w:shd w:val="clear" w:color="auto" fill="F8FAFC"/>
          </w:tcPr>
          <w:p>
            <w:pPr>
              <w:jc w:val="right"/>
              <w:spacing w:before="40" w:after="40"/>
            </w:pPr>
            <w:r>
              <w:rPr>
                <w:sz w:val="18"/>
                <w:color w:val="18181B"/>
              </w:rPr>
              <w:t>0</w:t>
            </w:r>
          </w:p>
        </w:tc>
        <w:tc>
          <w:tcPr>
            <w:tcW w:w="2200" w:type="dxa"/>
            <w:shd w:val="clear" w:color="auto" fill="F8FAFC"/>
          </w:tcPr>
          <w:p>
            <w:pPr>
              <w:jc w:val="right"/>
              <w:spacing w:before="40" w:after="40"/>
            </w:pPr>
            <w:r>
              <w:rPr>
                <w:sz w:val="18"/>
                <w:color w:val="18181B"/>
              </w:rPr>
              <w:t>0.0%</w:t>
            </w:r>
          </w:p>
        </w:tc>
      </w:tr>
      <w:tr>
        <w:tc>
          <w:tcPr>
            <w:tcW w:w="2200" w:type="dxa"/>
            <w:shd w:val="clear" w:color="auto"/>
          </w:tcPr>
          <w:p>
            <w:pPr>
              <w:spacing w:before="40" w:after="40"/>
            </w:pPr>
            <w:r>
              <w:rPr>
                <w:sz w:val="18"/>
                <w:color w:val="18181B"/>
              </w:rPr>
              <w:t>China</w:t>
            </w:r>
          </w:p>
        </w:tc>
        <w:tc>
          <w:tcPr>
            <w:tcW w:w="2000" w:type="dxa"/>
            <w:shd w:val="clear" w:color="auto"/>
          </w:tcPr>
          <w:p>
            <w:pPr>
              <w:jc w:val="right"/>
              <w:spacing w:before="40" w:after="40"/>
            </w:pPr>
            <w:r>
              <w:rPr>
                <w:sz w:val="18"/>
                <w:color w:val="18181B"/>
              </w:rPr>
              <w:t>27</w:t>
            </w:r>
          </w:p>
        </w:tc>
        <w:tc>
          <w:tcPr>
            <w:tcW w:w="2000" w:type="dxa"/>
            <w:shd w:val="clear" w:color="auto"/>
          </w:tcPr>
          <w:p>
            <w:pPr>
              <w:jc w:val="right"/>
              <w:spacing w:before="40" w:after="40"/>
            </w:pPr>
            <w:r>
              <w:rPr>
                <w:sz w:val="18"/>
                <w:color w:val="18181B"/>
              </w:rPr>
              <w:t>0</w:t>
            </w:r>
          </w:p>
        </w:tc>
        <w:tc>
          <w:tcPr>
            <w:tcW w:w="2200" w:type="dxa"/>
            <w:shd w:val="clear" w:color="auto"/>
          </w:tcPr>
          <w:p>
            <w:pPr>
              <w:jc w:val="right"/>
              <w:spacing w:before="40" w:after="40"/>
            </w:pPr>
            <w:r>
              <w:rPr>
                <w:sz w:val="18"/>
                <w:color w:val="18181B"/>
              </w:rPr>
              <w:t>0.0%</w:t>
            </w:r>
          </w:p>
        </w:tc>
      </w:tr>
      <w:tr>
        <w:tc>
          <w:tcPr>
            <w:tcW w:w="2200" w:type="dxa"/>
            <w:shd w:val="clear" w:color="auto" fill="F8FAFC"/>
          </w:tcPr>
          <w:p>
            <w:pPr>
              <w:spacing w:before="40" w:after="40"/>
            </w:pPr>
            <w:r>
              <w:rPr>
                <w:sz w:val="18"/>
                <w:color w:val="18181B"/>
              </w:rPr>
              <w:t>Other Nations</w:t>
            </w:r>
          </w:p>
        </w:tc>
        <w:tc>
          <w:tcPr>
            <w:tcW w:w="2000" w:type="dxa"/>
            <w:shd w:val="clear" w:color="auto" fill="F8FAFC"/>
          </w:tcPr>
          <w:p>
            <w:pPr>
              <w:jc w:val="right"/>
              <w:spacing w:before="40" w:after="40"/>
            </w:pPr>
            <w:r>
              <w:rPr>
                <w:sz w:val="18"/>
                <w:color w:val="18181B"/>
              </w:rPr>
              <w:t>110</w:t>
            </w:r>
          </w:p>
        </w:tc>
        <w:tc>
          <w:tcPr>
            <w:tcW w:w="2000" w:type="dxa"/>
            <w:shd w:val="clear" w:color="auto" fill="F8FAFC"/>
          </w:tcPr>
          <w:p>
            <w:pPr>
              <w:jc w:val="right"/>
              <w:spacing w:before="40" w:after="40"/>
            </w:pPr>
            <w:r>
              <w:rPr>
                <w:sz w:val="18"/>
                <w:color w:val="18181B"/>
              </w:rPr>
              <w:t>45</w:t>
            </w:r>
          </w:p>
        </w:tc>
        <w:tc>
          <w:tcPr>
            <w:tcW w:w="2200" w:type="dxa"/>
            <w:shd w:val="clear" w:color="auto" fill="F8FAFC"/>
          </w:tcPr>
          <w:p>
            <w:pPr>
              <w:jc w:val="right"/>
              <w:spacing w:before="40" w:after="40"/>
            </w:pPr>
            <w:r>
              <w:rPr>
                <w:sz w:val="18"/>
                <w:color w:val="18181B"/>
              </w:rPr>
              <w:t>29.0%</w:t>
            </w:r>
          </w:p>
        </w:tc>
      </w:tr>
      <w:tr>
        <w:tc>
          <w:tcPr>
            <w:tcW w:w="2200" w:type="dxa"/>
            <w:shd w:val="clear" w:color="auto"/>
          </w:tcPr>
          <w:p>
            <w:pPr>
              <w:spacing w:before="40" w:after="40"/>
            </w:pPr>
            <w:r>
              <w:rPr>
                <w:sz w:val="18"/>
                <w:color w:val="18181B"/>
              </w:rPr>
              <w:t>Global Total</w:t>
            </w:r>
          </w:p>
        </w:tc>
        <w:tc>
          <w:tcPr>
            <w:tcW w:w="2000" w:type="dxa"/>
            <w:shd w:val="clear" w:color="auto"/>
          </w:tcPr>
          <w:p>
            <w:pPr>
              <w:jc w:val="right"/>
              <w:spacing w:before="40" w:after="40"/>
            </w:pPr>
            <w:r>
              <w:rPr>
                <w:sz w:val="18"/>
                <w:color w:val="18181B"/>
              </w:rPr>
              <w:t>637</w:t>
            </w:r>
          </w:p>
        </w:tc>
        <w:tc>
          <w:tcPr>
            <w:tcW w:w="2000" w:type="dxa"/>
            <w:shd w:val="clear" w:color="auto"/>
          </w:tcPr>
          <w:p>
            <w:pPr>
              <w:jc w:val="right"/>
              <w:spacing w:before="40" w:after="40"/>
            </w:pPr>
            <w:r>
              <w:rPr>
                <w:sz w:val="18"/>
                <w:color w:val="18181B"/>
              </w:rPr>
              <w:t>136</w:t>
            </w:r>
          </w:p>
        </w:tc>
        <w:tc>
          <w:tcPr>
            <w:tcW w:w="2200" w:type="dxa"/>
            <w:shd w:val="clear" w:color="auto"/>
          </w:tcPr>
          <w:p>
            <w:pPr>
              <w:jc w:val="right"/>
              <w:spacing w:before="40" w:after="40"/>
            </w:pPr>
            <w:r>
              <w:rPr>
                <w:sz w:val="18"/>
                <w:color w:val="18181B"/>
              </w:rPr>
              <w:t>17.6%</w:t>
            </w:r>
          </w:p>
        </w:tc>
      </w:tr>
    </w:tbl>
    <w:p>
      <w:pPr>
        <w:spacing w:before="200" w:after="80" w:line="276" w:lineRule="auto"/>
      </w:pPr>
      <w:r>
        <w:rPr>
          <w:b/>
          <w:sz w:val="24"/>
          <w:color w:val="1E293B"/>
        </w:rPr>
        <w:t xml:space="preserve">3.4 Demographic Trends and Gender Representation</w:t>
      </w:r>
    </w:p>
    <w:p>
      <w:pPr>
        <w:spacing w:before="0" w:after="140" w:line="276" w:lineRule="auto"/>
      </w:pPr>
      <w:r>
        <w:rPr>
          <w:sz w:val="22"/>
          <w:color w:val="18181B"/>
        </w:rPr>
        <w:t xml:space="preserve">Women comprise 14.7% (114/773) of all flown astronauts (Figure 5). Female representation has risen from 0% in the 1970s to 25.1% in the 2020s, but remains far below gender parity. Peggy Whitson holds the record for the longest cumulative US career (695.3 days).</w:t>
      </w:r>
    </w:p>
    <w:p>
      <w:pPr>
        <w:jc w:val="center"/>
        <w:spacing w:before="120" w:after="60"/>
      </w:pPr>
      <w:r>
        <w:drawing>
          <wp:inline xmlns:wp="http://schemas.openxmlformats.org/drawingml/2006/wordprocessingDrawing" distT="0" distB="0" distL="0" distR="0">
            <wp:extent cx="5600000" cy="2400000"/>
            <wp:docPr id="1" name="Figure"/>
            <a:graphic xmlns:a="http://schemas.openxmlformats.org/drawingml/2006/main">
              <a:graphicData uri="http://schemas.openxmlformats.org/drawingml/2006/picture">
                <pic:pic xmlns:pic="http://schemas.openxmlformats.org/drawingml/2006/picture">
                  <pic:nvPicPr>
                    <pic:cNvPr id="0" name="Picture"/>
                    <pic:cNvPicPr/>
                  </pic:nvPicPr>
                  <pic:blipFill>
                    <a:blip xmlns:r="http://schemas.openxmlformats.org/officeDocument/2006/relationships" r:embed="rIdImg14"/>
                    <a:stretch>
                      <a:fillRect/>
                    </a:stretch>
                  </pic:blipFill>
                  <pic:spPr>
                    <a:xfrm>
                      <a:off x="0" y="0"/>
                      <a:ext cx="5600000" cy="2400000"/>
                    </a:xfrm>
                    <a:prstGeom prst="rect">
                      <a:avLst/>
                    </a:prstGeom>
                  </pic:spPr>
                </pic:pic>
              </a:graphicData>
            </a:graphic>
          </wp:inline>
        </w:drawing>
      </w:r>
    </w:p>
    <w:p>
      <w:pPr>
        <w:spacing w:before="0" w:after="160" w:line="276" w:lineRule="auto"/>
      </w:pPr>
      <w:r>
        <w:rPr>
          <w:i/>
          <w:sz w:val="18"/>
          <w:color w:val="475569"/>
        </w:rPr>
        <w:t xml:space="preserve">Figure 5 | Women in human spaceflight: new astronauts per year (1961–2026).</w:t>
      </w:r>
    </w:p>
    <w:p>
      <w:pPr>
        <w:spacing w:before="280" w:after="100" w:line="276" w:lineRule="auto"/>
      </w:pPr>
      <w:r>
        <w:rPr>
          <w:b/>
          <w:sz w:val="28"/>
          <w:color w:val="0F172A"/>
        </w:rPr>
        <w:t xml:space="preserve">4. Discussion &amp; Biomedical Implications</w:t>
      </w:r>
    </w:p>
    <w:p>
      <w:pPr>
        <w:spacing w:before="0" w:after="140" w:line="276" w:lineRule="auto"/>
      </w:pPr>
      <w:r>
        <w:rPr>
          <w:sz w:val="22"/>
          <w:color w:val="18181B"/>
        </w:rPr>
        <w:t xml:space="preserve">The structural bifurcation between short suborbital commercial hops and long-duration orbital expedition increments holds profound implications for aerospace medicine:</w:t>
      </w:r>
    </w:p>
    <w:p>
      <w:pPr>
        <w:spacing w:before="0" w:after="140" w:line="276" w:lineRule="auto"/>
      </w:pPr>
      <w:r>
        <w:rPr>
          <w:sz w:val="22"/>
          <w:color w:val="18181B"/>
        </w:rPr>
        <w:t xml:space="preserve">1. Occupational Radiation Exposure: Long-duration flyers (&gt; 50 days; 254 astronauts) accumulate significant GCR doses, whereas suborbital participants receive negligible radiation.</w:t>
      </w:r>
    </w:p>
    <w:p>
      <w:pPr>
        <w:spacing w:before="0" w:after="140" w:line="276" w:lineRule="auto"/>
      </w:pPr>
      <w:r>
        <w:rPr>
          <w:sz w:val="22"/>
          <w:color w:val="18181B"/>
        </w:rPr>
        <w:t xml:space="preserve">2. SANS &amp; Bone Demineralization: SANS and trabecular bone loss are associated mainly with extended microgravity stays, requiring rigorous countermeasure validation before Mars transit.</w:t>
      </w:r>
    </w:p>
    <w:p>
      <w:pPr>
        <w:spacing w:before="0" w:after="140" w:line="276" w:lineRule="auto"/>
      </w:pPr>
      <w:r>
        <w:rPr>
          <w:sz w:val="22"/>
          <w:color w:val="18181B"/>
        </w:rPr>
        <w:t xml:space="preserve">3. Future Commercial Stations: As private orbital stations replace the ISS post-2030, this baseline census provides demographic modeling parameters for commercial crew turnover.</w:t>
      </w:r>
    </w:p>
    <w:p>
      <w:pPr>
        <w:spacing w:before="280" w:after="100" w:line="276" w:lineRule="auto"/>
      </w:pPr>
      <w:r>
        <w:rPr>
          <w:b/>
          <w:sz w:val="28"/>
          <w:color w:val="0F172A"/>
        </w:rPr>
        <w:t xml:space="preserve">5. Data Availability &amp; Reproducibility</w:t>
      </w:r>
    </w:p>
    <w:p>
      <w:pPr>
        <w:spacing w:before="0" w:after="140" w:line="276" w:lineRule="auto"/>
      </w:pPr>
      <w:r>
        <w:rPr>
          <w:sz w:val="22"/>
          <w:color w:val="18181B"/>
        </w:rPr>
        <w:t xml:space="preserve">All data, code, and interactive dashboards are open-source at https://github.com/dr-richard-barker/Astronaut_trends and https://dr-richard-barker.github.io/Astronaut_trends/.</w:t>
      </w:r>
    </w:p>
    <w:p>
      <w:pPr>
        <w:spacing w:before="280" w:after="100" w:line="276" w:lineRule="auto"/>
      </w:pPr>
      <w:r>
        <w:rPr>
          <w:b/>
          <w:sz w:val="28"/>
          <w:color w:val="0F172A"/>
        </w:rPr>
        <w:t xml:space="preserve">References</w:t>
      </w:r>
    </w:p>
    <w:p>
      <w:pPr>
        <w:spacing w:before="0" w:after="60" w:line="276" w:lineRule="auto"/>
      </w:pPr>
      <w:r>
        <w:rPr>
          <w:sz w:val="18"/>
          <w:color w:val="334155"/>
        </w:rPr>
        <w:t xml:space="preserve">1. McDowell, J. C. (2026). General Catalogue of Astronauts. Planet4589 Space Lists. https://planet4589.org/space/astro/lists/</w:t>
      </w:r>
    </w:p>
    <w:p>
      <w:pPr>
        <w:spacing w:before="0" w:after="60" w:line="276" w:lineRule="auto"/>
      </w:pPr>
      <w:r>
        <w:rPr>
          <w:sz w:val="18"/>
          <w:color w:val="334155"/>
        </w:rPr>
        <w:t xml:space="preserve">2. Crucian, B. E., et al. (2018). Immune System Dysregulation During Spaceflight: Potential Countermeasures for Deep Space Exploration Missions. Frontiers in Immunology, 9, 1437. https://doi.org/10.3389/fimmu.2018.01437</w:t>
      </w:r>
    </w:p>
    <w:sectPr>
      <w:headerReference w:type="default" r:id="rIdHeader"/>
      <w:footerReference w:type="default" r:id="rIdFooter"/>
      <w:pgSz w:w="11906" w:h="16838"/>
      <w:pgMar w:top="1440" w:right="1440" w:bottom="1440" w:left="1440" w:header="720" w:footer="720" w:gutter="0"/>
    </w:sectPr>
  </w:body>
</w:document>
</file>

<file path=word/footer1.xml><?xml version="1.0" encoding="utf-8"?>
<w:ftr xmlns:w="http://schemas.openxmlformats.org/wordprocessingml/2006/main">
  <w:p>
    <w:pPr>
      <w:jc w:val="center"/>
    </w:pPr>
    <w:r>
      <w:rPr>
        <w:sz w:val="18"/>
        <w:color w:val="71717A"/>
      </w:rPr>
      <w:fldSimple w:instr="PAGE"/>
    </w:r>
  </w:p>
</w:ftr>
</file>

<file path=word/header1.xml><?xml version="1.0" encoding="utf-8"?>
<w:hdr xmlns:w="http://schemas.openxmlformats.org/wordprocessingml/2006/main">
  <w:p>
    <w:pPr>
      <w:jc w:val="right"/>
    </w:pPr>
    <w:r>
      <w:rPr>
        <w:sz w:val="16"/>
        <w:color w:val="71717A"/>
      </w:rPr>
      <w:t>Astronaut Trends: Six Decades of Human Spaceflight (1961–2026)</w:t>
    </w:r>
  </w:p>
</w:hdr>
</file>

<file path=word/styles.xml><?xml version="1.0" encoding="utf-8"?>
<w:styles xmlns:w="http://schemas.openxmlformats.org/wordprocessingml/2006/main">
  <w:docDefaults>
    <w:rPrDefault>
      <w:rPr>
        <w:rFonts w:ascii="Calibri" w:hAnsi="Calibri" w:cs="Calibri"/>
        <w:sz w:val="22"/>
        <w:color w:val="18181B"/>
      </w:rPr>
    </w:rPrDefault>
    <w:pPrDefault>
      <w:pPr>
        <w:spacing w:line="276" w:lineRule="auto" w:after="160"/>
      </w:pPr>
    </w:pPrDefault>
  </w:docDefaults>
</w:styles>
</file>

<file path=word/_rels/document.xml.rels><?xml version="1.0" encoding="UTF-8" standalone="yes"?>
<Relationships xmlns="http://schemas.openxmlformats.org/package/2006/relationships">
  <Relationship Id="rIdStyles" Type="http://schemas.openxmlformats.org/officeDocument/2006/relationships/styles" Target="styles.xml"/><Relationship Id="rIdHeader" Type="http://schemas.openxmlformats.org/officeDocument/2006/relationships/header" Target="header1.xml"/><Relationship Id="rIdFooter" Type="http://schemas.openxmlformats.org/officeDocument/2006/relationships/footer" Target="footer1.xml"/><Relationship Id="rIdImg10" Type="http://schemas.openxmlformats.org/officeDocument/2006/relationships/image" Target="media/fig1_timeline.png"/><Relationship Id="rIdImg11" Type="http://schemas.openxmlformats.org/officeDocument/2006/relationships/image" Target="media/fig2_box_country.png"/><Relationship Id="rIdImg12" Type="http://schemas.openxmlformats.org/officeDocument/2006/relationships/image" Target="media/fig3_bar_country.png"/><Relationship Id="rIdImg13" Type="http://schemas.openxmlformats.org/officeDocument/2006/relationships/image" Target="media/fig4_radar.png"/><Relationship Id="rIdImg14" Type="http://schemas.openxmlformats.org/officeDocument/2006/relationships/image" Target="media/fig5_gender.png"/><Relationship Id="rIdImg15" Type="http://schemas.openxmlformats.org/officeDocument/2006/relationships/image" Target="media/fig6_orbital_suborbital.png"/>
</Relationships>
</file>