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22.png" ContentType="image/png"/>
  <Override PartName="/word/media/rId27.png" ContentType="image/png"/>
  <Override PartName="/word/media/rId34.png" ContentType="image/png"/>
  <Override PartName="/word/media/rId39.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60" w:name="X90468ff268e85b0760526537ef954def4c80b07"/>
    <w:p>
      <w:pPr>
        <w:pStyle w:val="Heading1"/>
      </w:pPr>
      <w:r>
        <w:t xml:space="preserve">Near-Null Magnetic Fields in Lunar Plant Biology: The First Five Days of Seedling Growth, Multi-Stressor Bioenergetics, and Implications for Artemis Agriculture</w:t>
      </w:r>
    </w:p>
    <w:p>
      <w:pPr>
        <w:pStyle w:val="FirstParagraph"/>
      </w:pPr>
      <w:r>
        <w:rPr>
          <w:b/>
          <w:bCs/>
        </w:rPr>
        <w:t xml:space="preserve">D. Marshall Porterfield</w:t>
      </w:r>
      <m:oMath>
        <m:sSup>
          <m:e>
            <m:r>
              <m:t>​</m:t>
            </m:r>
          </m:e>
          <m:sup>
            <m:r>
              <m:t>1</m:t>
            </m:r>
            <m:r>
              <m:rPr>
                <m:sty m:val="p"/>
              </m:rPr>
              <m:t>,</m:t>
            </m:r>
            <m:r>
              <m:rPr>
                <m:sty m:val="p"/>
              </m:rPr>
              <m:t>*</m:t>
            </m:r>
          </m:sup>
        </m:sSup>
      </m:oMath>
      <w:r>
        <w:rPr>
          <w:b/>
          <w:bCs/>
        </w:rPr>
        <w:t xml:space="preserve">, Richard J. Barker</w:t>
      </w:r>
      <m:oMath>
        <m:sSup>
          <m:e>
            <m:r>
              <m:t>​</m:t>
            </m:r>
          </m:e>
          <m:sup>
            <m:r>
              <m:t>1</m:t>
            </m:r>
            <m:r>
              <m:rPr>
                <m:sty m:val="p"/>
              </m:rPr>
              <m:t>,</m:t>
            </m:r>
            <m:r>
              <m:rPr>
                <m:sty m:val="p"/>
              </m:rPr>
              <m:t>*</m:t>
            </m:r>
          </m:sup>
        </m:sSup>
      </m:oMath>
      <w:r>
        <w:rPr>
          <w:b/>
          <w:bCs/>
        </w:rPr>
        <w:t xml:space="preserve">, Caue Borlina</w:t>
      </w:r>
      <m:oMath>
        <m:sSup>
          <m:e>
            <m:r>
              <m:t>​</m:t>
            </m:r>
          </m:e>
          <m:sup>
            <m:r>
              <m:t>2</m:t>
            </m:r>
          </m:sup>
        </m:sSup>
      </m:oMath>
      <w:r>
        <w:rPr>
          <w:b/>
          <w:bCs/>
        </w:rPr>
        <w:t xml:space="preserve">, Aubrey O’Rourke</w:t>
      </w:r>
      <m:oMath>
        <m:sSup>
          <m:e>
            <m:r>
              <m:t>​</m:t>
            </m:r>
          </m:e>
          <m:sup>
            <m:r>
              <m:t>2</m:t>
            </m:r>
          </m:sup>
        </m:sSup>
      </m:oMath>
      <w:r>
        <w:rPr>
          <w:b/>
          <w:bCs/>
        </w:rPr>
        <w:t xml:space="preserve">, Adriana Sanchez</w:t>
      </w:r>
      <m:oMath>
        <m:sSup>
          <m:e>
            <m:r>
              <m:t>​</m:t>
            </m:r>
          </m:e>
          <m:sup>
            <m:r>
              <m:t>1</m:t>
            </m:r>
          </m:sup>
        </m:sSup>
      </m:oMath>
      <w:r>
        <w:rPr>
          <w:b/>
          <w:bCs/>
        </w:rPr>
        <w:t xml:space="preserve">, Manisha Dagar</w:t>
      </w:r>
      <m:oMath>
        <m:sSup>
          <m:e>
            <m:r>
              <m:t>​</m:t>
            </m:r>
          </m:e>
          <m:sup>
            <m:r>
              <m:t>1</m:t>
            </m:r>
          </m:sup>
        </m:sSup>
      </m:oMath>
      <w:r>
        <w:rPr>
          <w:b/>
          <w:bCs/>
        </w:rPr>
        <w:t xml:space="preserve">, Ray Wheeler</w:t>
      </w:r>
      <m:oMath>
        <m:sSup>
          <m:e>
            <m:r>
              <m:t>​</m:t>
            </m:r>
          </m:e>
          <m:sup>
            <m:r>
              <m:t>3</m:t>
            </m:r>
          </m:sup>
        </m:sSup>
      </m:oMath>
      <w:r>
        <w:rPr>
          <w:b/>
          <w:bCs/>
        </w:rPr>
        <w:t xml:space="preserve">, Gioia Massa</w:t>
      </w:r>
      <m:oMath>
        <m:sSup>
          <m:e>
            <m:r>
              <m:t>​</m:t>
            </m:r>
          </m:e>
          <m:sup>
            <m:r>
              <m:t>4</m:t>
            </m:r>
          </m:sup>
        </m:sSup>
      </m:oMath>
      <w:r>
        <w:rPr>
          <w:b/>
          <w:bCs/>
        </w:rPr>
        <w:t xml:space="preserve">, Barbara Demmig-Adams</w:t>
      </w:r>
      <m:oMath>
        <m:sSup>
          <m:e>
            <m:r>
              <m:t>​</m:t>
            </m:r>
          </m:e>
          <m:sup>
            <m:r>
              <m:t>5</m:t>
            </m:r>
          </m:sup>
        </m:sSup>
      </m:oMath>
      <w:r>
        <w:rPr>
          <w:b/>
          <w:bCs/>
        </w:rPr>
        <w:t xml:space="preserve">, Marta Peirats-Llobet</w:t>
      </w:r>
      <m:oMath>
        <m:sSup>
          <m:e>
            <m:r>
              <m:t>​</m:t>
            </m:r>
          </m:e>
          <m:sup>
            <m:r>
              <m:t>7</m:t>
            </m:r>
          </m:sup>
        </m:sSup>
      </m:oMath>
      <w:r>
        <w:rPr>
          <w:b/>
          <w:bCs/>
        </w:rPr>
        <w:t xml:space="preserve">, Pamela Flores</w:t>
      </w:r>
      <m:oMath>
        <m:sSup>
          <m:e>
            <m:r>
              <m:t>​</m:t>
            </m:r>
          </m:e>
          <m:sup>
            <m:r>
              <m:t>6</m:t>
            </m:r>
          </m:sup>
        </m:sSup>
      </m:oMath>
      <w:r>
        <w:rPr>
          <w:b/>
          <w:bCs/>
        </w:rPr>
        <w:t xml:space="preserve">, Anirudha Dixit</w:t>
      </w:r>
      <m:oMath>
        <m:sSup>
          <m:e>
            <m:r>
              <m:t>​</m:t>
            </m:r>
          </m:e>
          <m:sup>
            <m:r>
              <m:t>4</m:t>
            </m:r>
          </m:sup>
        </m:sSup>
      </m:oMath>
      <w:r>
        <w:rPr>
          <w:b/>
          <w:bCs/>
        </w:rPr>
        <w:t xml:space="preserve">, Christine Chamberlain</w:t>
      </w:r>
      <m:oMath>
        <m:sSup>
          <m:e>
            <m:r>
              <m:t>​</m:t>
            </m:r>
          </m:e>
          <m:sup>
            <m:r>
              <m:t>6</m:t>
            </m:r>
          </m:sup>
        </m:sSup>
      </m:oMath>
    </w:p>
    <w:p>
      <w:pPr>
        <w:pStyle w:val="BodyText"/>
      </w:pPr>
      <m:oMath>
        <m:sSup>
          <m:e>
            <m:r>
              <m:t>​</m:t>
            </m:r>
          </m:e>
          <m:sup>
            <m:r>
              <m:t>1</m:t>
            </m:r>
          </m:sup>
        </m:sSup>
      </m:oMath>
      <w:r>
        <w:t xml:space="preserve"> </w:t>
      </w:r>
      <w:r>
        <w:t xml:space="preserve">Department of Agricultural and Biological Engineering, Purdue University, West Lafayette, IN 47907, USA</w:t>
      </w:r>
      <w:r>
        <w:br/>
      </w:r>
      <m:oMath>
        <m:sSup>
          <m:e>
            <m:r>
              <m:t>​</m:t>
            </m:r>
          </m:e>
          <m:sup>
            <m:r>
              <m:t>2</m:t>
            </m:r>
          </m:sup>
        </m:sSup>
      </m:oMath>
      <w:r>
        <w:t xml:space="preserve"> </w:t>
      </w:r>
      <w:r>
        <w:t xml:space="preserve">Department of Earth, Atmospheric, and Planetary Sciences, Purdue University, West Lafayette, IN 47907, USA</w:t>
      </w:r>
      <w:r>
        <w:br/>
      </w:r>
      <m:oMath>
        <m:sSup>
          <m:e>
            <m:r>
              <m:t>​</m:t>
            </m:r>
          </m:e>
          <m:sup>
            <m:r>
              <m:t>3</m:t>
            </m:r>
          </m:sup>
        </m:sSup>
      </m:oMath>
      <w:r>
        <w:t xml:space="preserve"> </w:t>
      </w:r>
      <w:r>
        <w:t xml:space="preserve">NASA John F. Kennedy Space Center, Exploration Research and Technology Programs, FL 32899, USA</w:t>
      </w:r>
      <w:r>
        <w:br/>
      </w:r>
      <m:oMath>
        <m:sSup>
          <m:e>
            <m:r>
              <m:t>​</m:t>
            </m:r>
          </m:e>
          <m:sup>
            <m:r>
              <m:t>4</m:t>
            </m:r>
          </m:sup>
        </m:sSup>
      </m:oMath>
      <w:r>
        <w:t xml:space="preserve"> </w:t>
      </w:r>
      <w:r>
        <w:t xml:space="preserve">NASA John F. Kennedy Space Center, Space Crop Production, FL 32899, USA</w:t>
      </w:r>
      <w:r>
        <w:br/>
      </w:r>
      <m:oMath>
        <m:sSup>
          <m:e>
            <m:r>
              <m:t>​</m:t>
            </m:r>
          </m:e>
          <m:sup>
            <m:r>
              <m:t>5</m:t>
            </m:r>
          </m:sup>
        </m:sSup>
      </m:oMath>
      <w:r>
        <w:t xml:space="preserve"> </w:t>
      </w:r>
      <w:r>
        <w:t xml:space="preserve">Department of Ecology and Evolutionary Biology, University of Colorado Boulder, Boulder, CO 80309, USA</w:t>
      </w:r>
      <w:r>
        <w:br/>
      </w:r>
      <m:oMath>
        <m:sSup>
          <m:e>
            <m:r>
              <m:t>​</m:t>
            </m:r>
          </m:e>
          <m:sup>
            <m:r>
              <m:t>6</m:t>
            </m:r>
          </m:sup>
        </m:sSup>
      </m:oMath>
      <w:r>
        <w:t xml:space="preserve"> </w:t>
      </w:r>
      <w:r>
        <w:t xml:space="preserve">Space Lab Technologies, LLC, Boulder, CO 80301, USA</w:t>
      </w:r>
      <w:r>
        <w:br/>
      </w:r>
      <m:oMath>
        <m:sSup>
          <m:e>
            <m:r>
              <m:t>​</m:t>
            </m:r>
          </m:e>
          <m:sup>
            <m:r>
              <m:t>7</m:t>
            </m:r>
          </m:sup>
        </m:sSup>
      </m:oMath>
      <w:r>
        <w:t xml:space="preserve"> </w:t>
      </w:r>
      <w:r>
        <w:t xml:space="preserve">La Trobe Institute for Sustainable Agriculture and Food, School of Agriculture, Biomedicine and Environment, La Trobe University, Bundoora, VIC 3086, Australia</w:t>
      </w:r>
    </w:p>
    <w:p>
      <w:pPr>
        <w:pStyle w:val="BodyText"/>
      </w:pPr>
      <m:oMath>
        <m:sSup>
          <m:e>
            <m:r>
              <m:t>​</m:t>
            </m:r>
          </m:e>
          <m:sup>
            <m:r>
              <m:rPr>
                <m:sty m:val="p"/>
              </m:rPr>
              <m:t>*</m:t>
            </m:r>
          </m:sup>
        </m:sSup>
      </m:oMath>
      <w:r>
        <w:t xml:space="preserve"> </w:t>
      </w:r>
      <w:r>
        <w:t xml:space="preserve">Corresponding Authors:</w:t>
      </w:r>
      <w:r>
        <w:t xml:space="preserve"> </w:t>
      </w:r>
      <w:r>
        <w:rPr>
          <w:rStyle w:val="VerbatimChar"/>
        </w:rPr>
        <w:t xml:space="preserve">porterf@purdue.edu</w:t>
      </w:r>
      <w:r>
        <w:t xml:space="preserve">,</w:t>
      </w:r>
      <w:r>
        <w:t xml:space="preserve"> </w:t>
      </w:r>
      <w:r>
        <w:rPr>
          <w:rStyle w:val="VerbatimChar"/>
        </w:rPr>
        <w:t xml:space="preserve">dr.richard.barker@gmail.com</w:t>
      </w:r>
    </w:p>
    <w:p>
      <w:r>
        <w:pict>
          <v:rect style="width:0;height:1.5pt" o:hralign="center" o:hrstd="t" o:hr="t"/>
        </w:pict>
      </w:r>
    </w:p>
    <w:bookmarkStart w:id="9" w:name="highlights"/>
    <w:p>
      <w:pPr>
        <w:pStyle w:val="Heading2"/>
      </w:pPr>
      <w:r>
        <w:t xml:space="preserve">Highlights</w:t>
      </w:r>
    </w:p>
    <w:p>
      <w:pPr>
        <w:pStyle w:val="Compact"/>
        <w:numPr>
          <w:ilvl w:val="0"/>
          <w:numId w:val="1001"/>
        </w:numPr>
      </w:pPr>
      <w:r>
        <w:t xml:space="preserve">Candidate Artemis South Pole exploration sites reside in an extreme near-null magnetic field (</w:t>
      </w:r>
      <m:oMath>
        <m:r>
          <m:t>0.40</m:t>
        </m:r>
        <m:r>
          <m:rPr>
            <m:nor/>
            <m:sty m:val="p"/>
          </m:rPr>
          <m:t>–</m:t>
        </m:r>
        <m:r>
          <m:t>0.82</m:t>
        </m:r>
        <m:r>
          <m:rPr>
            <m:nor/>
            <m:sty m:val="p"/>
          </m:rPr>
          <m:t> nT</m:t>
        </m:r>
      </m:oMath>
      <w:r>
        <w:t xml:space="preserve"> </w:t>
      </w:r>
      <w:r>
        <w:t xml:space="preserve">crustal proxy at 30 km altitude).</w:t>
      </w:r>
    </w:p>
    <w:p>
      <w:pPr>
        <w:pStyle w:val="Compact"/>
        <w:numPr>
          <w:ilvl w:val="0"/>
          <w:numId w:val="1001"/>
        </w:numPr>
      </w:pPr>
      <w:r>
        <w:t xml:space="preserve">Four a priori magnetic regimes define biological exposure: Deep Near-Null (</w:t>
      </w:r>
      <m:oMath>
        <m:r>
          <m:rPr>
            <m:sty m:val="p"/>
          </m:rPr>
          <m:t>&lt;</m:t>
        </m:r>
        <m:r>
          <m:t>1</m:t>
        </m:r>
        <m:r>
          <m:rPr>
            <m:nor/>
            <m:sty m:val="p"/>
          </m:rPr>
          <m:t> nT</m:t>
        </m:r>
      </m:oMath>
      <w:r>
        <w:t xml:space="preserve">), NNMF (</w:t>
      </w:r>
      <m:oMath>
        <m:r>
          <m:t>1</m:t>
        </m:r>
        <m:r>
          <m:rPr>
            <m:nor/>
            <m:sty m:val="p"/>
          </m:rPr>
          <m:t>–</m:t>
        </m:r>
        <m:r>
          <m:t>10</m:t>
        </m:r>
        <m:r>
          <m:rPr>
            <m:nor/>
            <m:sty m:val="p"/>
          </m:rPr>
          <m:t> nT</m:t>
        </m:r>
      </m:oMath>
      <w:r>
        <w:t xml:space="preserve">), Moderate HMF (</w:t>
      </w:r>
      <m:oMath>
        <m:r>
          <m:t>10</m:t>
        </m:r>
        <m:r>
          <m:rPr>
            <m:nor/>
            <m:sty m:val="p"/>
          </m:rPr>
          <m:t> nT to </m:t>
        </m:r>
        <m:r>
          <m:t>5</m:t>
        </m:r>
        <m:r>
          <m:t> </m:t>
        </m:r>
        <m:r>
          <m:t>μ</m:t>
        </m:r>
        <m:r>
          <m:rPr>
            <m:nor/>
            <m:sty m:val="p"/>
          </m:rPr>
          <m:t>T</m:t>
        </m:r>
      </m:oMath>
      <w:r>
        <w:t xml:space="preserve">), and Geomagnetic (</w:t>
      </w:r>
      <m:oMath>
        <m:r>
          <m:t>25</m:t>
        </m:r>
        <m:r>
          <m:rPr>
            <m:nor/>
            <m:sty m:val="p"/>
          </m:rPr>
          <m:t>–</m:t>
        </m:r>
        <m:r>
          <m:t>65</m:t>
        </m:r>
        <m:r>
          <m:t> </m:t>
        </m:r>
        <m:r>
          <m:t>μ</m:t>
        </m:r>
        <m:r>
          <m:rPr>
            <m:nor/>
            <m:sty m:val="p"/>
          </m:rPr>
          <m:t>T</m:t>
        </m:r>
      </m:oMath>
      <w:r>
        <w:t xml:space="preserve">).</w:t>
      </w:r>
    </w:p>
    <w:p>
      <w:pPr>
        <w:pStyle w:val="Compact"/>
        <w:numPr>
          <w:ilvl w:val="0"/>
          <w:numId w:val="1001"/>
        </w:numPr>
      </w:pPr>
      <w:r>
        <w:t xml:space="preserve">Hypomagnetic exposure suppresses seed germination capacity (</w:t>
      </w:r>
      <m:oMath>
        <m:r>
          <m:rPr>
            <m:sty m:val="p"/>
          </m:rPr>
          <m:t>−</m:t>
        </m:r>
        <m:r>
          <m:t>10</m:t>
        </m:r>
        <m:r>
          <m:rPr>
            <m:nor/>
            <m:sty m:val="p"/>
          </m:rPr>
          <m:t> to </m:t>
        </m:r>
        <m:r>
          <m:rPr>
            <m:sty m:val="p"/>
          </m:rPr>
          <m:t>−</m:t>
        </m:r>
        <m:r>
          <m:t>30</m:t>
        </m:r>
        <m:r>
          <m:rPr>
            <m:sty m:val="p"/>
          </m:rPr>
          <m:t>%</m:t>
        </m:r>
      </m:oMath>
      <w:r>
        <w:t xml:space="preserve">), decreasing total viable seedling counts across angiosperms.</w:t>
      </w:r>
    </w:p>
    <w:p>
      <w:pPr>
        <w:pStyle w:val="Compact"/>
        <w:numPr>
          <w:ilvl w:val="0"/>
          <w:numId w:val="1001"/>
        </w:numPr>
      </w:pPr>
      <w:r>
        <w:t xml:space="preserve">Near-null fields delay emergence velocity (</w:t>
      </w:r>
      <m:oMath>
        <m:r>
          <m:rPr>
            <m:sty m:val="p"/>
          </m:rPr>
          <m:t>Δ</m:t>
        </m:r>
        <m:sSub>
          <m:e>
            <m:r>
              <m:t>t</m:t>
            </m:r>
          </m:e>
          <m:sub>
            <m:r>
              <m:t>50</m:t>
            </m:r>
          </m:sub>
        </m:sSub>
        <m:r>
          <m:rPr>
            <m:sty m:val="p"/>
          </m:rPr>
          <m:t>=</m:t>
        </m:r>
        <m:r>
          <m:rPr>
            <m:sty m:val="p"/>
          </m:rPr>
          <m:t>+</m:t>
        </m:r>
        <m:r>
          <m:t>12</m:t>
        </m:r>
        <m:r>
          <m:rPr>
            <m:nor/>
            <m:sty m:val="p"/>
          </m:rPr>
          <m:t> to </m:t>
        </m:r>
        <m:r>
          <m:t>36</m:t>
        </m:r>
        <m:r>
          <m:rPr>
            <m:nor/>
            <m:sty m:val="p"/>
          </m:rPr>
          <m:t> h</m:t>
        </m:r>
      </m:oMath>
      <w:r>
        <w:t xml:space="preserve">), imposing an empirical</w:t>
      </w:r>
      <w:r>
        <w:t xml:space="preserve"> </w:t>
      </w:r>
      <m:oMath>
        <m:r>
          <m:rPr>
            <m:sty m:val="p"/>
          </m:rPr>
          <m:t>−</m:t>
        </m:r>
        <m:r>
          <m:t>28.5</m:t>
        </m:r>
        <m:r>
          <m:rPr>
            <m:sty m:val="p"/>
          </m:rPr>
          <m:t>%</m:t>
        </m:r>
      </m:oMath>
      <w:r>
        <w:t xml:space="preserve"> </w:t>
      </w:r>
      <w:r>
        <w:t xml:space="preserve">early biomass penalty.</w:t>
      </w:r>
    </w:p>
    <w:p>
      <w:pPr>
        <w:pStyle w:val="Compact"/>
        <w:numPr>
          <w:ilvl w:val="0"/>
          <w:numId w:val="1001"/>
        </w:numPr>
      </w:pPr>
      <w:r>
        <w:t xml:space="preserve">Cryptochrome-HY5 dysregulation represses rate-limiting chlorophyll (</w:t>
      </w:r>
      <w:r>
        <w:rPr>
          <w:i/>
          <w:iCs/>
        </w:rPr>
        <w:t xml:space="preserve">HEMA1</w:t>
      </w:r>
      <w:r>
        <w:t xml:space="preserve">,</w:t>
      </w:r>
      <w:r>
        <w:t xml:space="preserve"> </w:t>
      </w:r>
      <w:r>
        <w:rPr>
          <w:i/>
          <w:iCs/>
        </w:rPr>
        <w:t xml:space="preserve">POR</w:t>
      </w:r>
      <w:r>
        <w:t xml:space="preserve">) and anthocyanin (</w:t>
      </w:r>
      <w:r>
        <w:rPr>
          <w:i/>
          <w:iCs/>
        </w:rPr>
        <w:t xml:space="preserve">CHS</w:t>
      </w:r>
      <w:r>
        <w:t xml:space="preserve">) biosynthesis during greening.</w:t>
      </w:r>
    </w:p>
    <w:p>
      <w:pPr>
        <w:pStyle w:val="Compact"/>
        <w:numPr>
          <w:ilvl w:val="0"/>
          <w:numId w:val="1001"/>
        </w:numPr>
      </w:pPr>
      <w:r>
        <w:t xml:space="preserve">Near-null fields, chronic GCR, and exploration atmospheres converge on the organellar</w:t>
      </w:r>
      <w:r>
        <w:t xml:space="preserve"> </w:t>
      </w:r>
      <m:oMath>
        <m:sSub>
          <m:e>
            <m:r>
              <m:rPr>
                <m:nor/>
                <m:sty m:val="p"/>
              </m:rPr>
              <m:t>CO</m:t>
            </m:r>
          </m:e>
          <m:sub>
            <m:r>
              <m:t>2</m:t>
            </m:r>
          </m:sub>
        </m:sSub>
        <m:r>
          <m:rPr>
            <m:nor/>
            <m:sty m:val="p"/>
          </m:rPr>
          <m:t>–</m:t>
        </m:r>
        <m:sSub>
          <m:e>
            <m:r>
              <m:rPr>
                <m:nor/>
                <m:sty m:val="p"/>
              </m:rPr>
              <m:t>O</m:t>
            </m:r>
          </m:e>
          <m:sub>
            <m:r>
              <m:t>2</m:t>
            </m:r>
          </m:sub>
        </m:sSub>
        <m:r>
          <m:rPr>
            <m:nor/>
            <m:sty m:val="p"/>
          </m:rPr>
          <m:t>–ROS</m:t>
        </m:r>
      </m:oMath>
      <w:r>
        <w:t xml:space="preserve"> </w:t>
      </w:r>
      <w:r>
        <w:t xml:space="preserve">bioenergetic nexus.</w:t>
      </w:r>
    </w:p>
    <w:p>
      <w:pPr>
        <w:pStyle w:val="Compact"/>
        <w:numPr>
          <w:ilvl w:val="0"/>
          <w:numId w:val="1001"/>
        </w:numPr>
      </w:pPr>
      <w:r>
        <w:t xml:space="preserve">Induction of Alternative Oxidase (</w:t>
      </w:r>
      <w:r>
        <w:rPr>
          <w:i/>
          <w:iCs/>
        </w:rPr>
        <w:t xml:space="preserve">AOX1D</w:t>
      </w:r>
      <w:r>
        <w:t xml:space="preserve">) and Catalase (</w:t>
      </w:r>
      <w:r>
        <w:rPr>
          <w:i/>
          <w:iCs/>
        </w:rPr>
        <w:t xml:space="preserve">CAT3</w:t>
      </w:r>
      <w:r>
        <w:t xml:space="preserve">) parallels conserved spaceflight mitochondrial stress in human astronauts.</w:t>
      </w:r>
    </w:p>
    <w:p>
      <w:pPr>
        <w:pStyle w:val="Compact"/>
        <w:numPr>
          <w:ilvl w:val="0"/>
          <w:numId w:val="1001"/>
        </w:numPr>
      </w:pPr>
      <w:r>
        <w:t xml:space="preserve">Rigorous ground standards (bifilar shams) and current-parameterized self-field deconvolution decouple true magnetic effects from payload EMI artifacts.</w:t>
      </w:r>
    </w:p>
    <w:p>
      <w:pPr>
        <w:pStyle w:val="Compact"/>
        <w:numPr>
          <w:ilvl w:val="0"/>
          <w:numId w:val="1001"/>
        </w:numPr>
      </w:pPr>
      <w:r>
        <w:t xml:space="preserve">Sample-level 3-axis canopy magnetometry resolves flight environmental exposure without requiring active in-flight cancellation coils.</w:t>
      </w:r>
    </w:p>
    <w:p>
      <w:r>
        <w:pict>
          <v:rect style="width:0;height:1.5pt" o:hralign="center" o:hrstd="t" o:hr="t"/>
        </w:pict>
      </w:r>
    </w:p>
    <w:bookmarkEnd w:id="9"/>
    <w:bookmarkStart w:id="10" w:name="abstract"/>
    <w:p>
      <w:pPr>
        <w:pStyle w:val="Heading2"/>
      </w:pPr>
      <w:r>
        <w:t xml:space="preserve">Abstract</w:t>
      </w:r>
    </w:p>
    <w:p>
      <w:pPr>
        <w:pStyle w:val="FirstParagraph"/>
      </w:pPr>
      <w:r>
        <w:t xml:space="preserve">Lunar surface agricultural payloads, such as NASA’s Lunar Effects on Agricultural Flora (LEAF) selected as a deployable instrument for Artemis lunar surface science, represent foundational operational infrastructure for sustained human habitation beyond low Earth orbit (BLEO). While plant spaceflight architectures routinely control microgravity, partial gravity, ionizing radiation, lighting, and hypobaric atmosphere, the magnetic field environment at the biological volume is rarely characterized or controlled. Here, we present a systematic literature review synthesizing 80 audited peer-reviewed publications, 10 per-study early-growth plant datasets, and 6 publicly available planetary and spaceflight multi-omics databases—supported by an open-source computational toolkit (</w:t>
      </w:r>
      <w:r>
        <w:rPr>
          <w:rStyle w:val="VerbatimChar"/>
        </w:rPr>
        <w:t xml:space="preserve">dr-richard-barker/NMF_review</w:t>
      </w:r>
      <w:r>
        <w:t xml:space="preserve">) developed by the authors—to evaluate the biological consequences of the Moon’s ambient near-null magnetic field (NNMF; typically</w:t>
      </w:r>
      <w:r>
        <w:t xml:space="preserve"> </w:t>
      </w:r>
      <m:oMath>
        <m:r>
          <m:t>0.40</m:t>
        </m:r>
        <m:r>
          <m:rPr>
            <m:nor/>
            <m:sty m:val="p"/>
          </m:rPr>
          <m:t> to </m:t>
        </m:r>
        <m:r>
          <m:t>0.82</m:t>
        </m:r>
        <m:r>
          <m:rPr>
            <m:nor/>
            <m:sty m:val="p"/>
          </m:rPr>
          <m:t> nT</m:t>
        </m:r>
      </m:oMath>
      <w:r>
        <w:t xml:space="preserve"> </w:t>
      </w:r>
      <w:r>
        <w:t xml:space="preserve">across candidate exploration regions vs. </w:t>
      </w:r>
      <m:oMath>
        <m:r>
          <m:t>25</m:t>
        </m:r>
        <m:r>
          <m:rPr>
            <m:nor/>
            <m:sty m:val="p"/>
          </m:rPr>
          <m:t>–</m:t>
        </m:r>
        <m:r>
          <m:t>65</m:t>
        </m:r>
        <m:r>
          <m:t> </m:t>
        </m:r>
        <m:r>
          <m:t>μ</m:t>
        </m:r>
        <m:r>
          <m:rPr>
            <m:nor/>
            <m:sty m:val="p"/>
          </m:rPr>
          <m:t>T</m:t>
        </m:r>
      </m:oMath>
      <w:r>
        <w:t xml:space="preserve"> </w:t>
      </w:r>
      <w:r>
        <w:t xml:space="preserve">on Earth). We refocus the literature on the</w:t>
      </w:r>
      <w:r>
        <w:t xml:space="preserve"> </w:t>
      </w:r>
      <w:r>
        <w:rPr>
          <w:b/>
          <w:bCs/>
        </w:rPr>
        <w:t xml:space="preserve">first five days of growth (0–120 hours)</w:t>
      </w:r>
      <w:r>
        <w:t xml:space="preserve">—the critical developmental bottleneck encompassing heterotrophic imbibition, peroxisomal reserve mobilization, radicle emergence, de-etiolation, and initial autotrophic establishment. Ground-based hypomagnetic simulations across crop and model species demonstrate that geomagnetic field removal: (1) suppresses germination capacity, lowering the total number of germinated seedlings by</w:t>
      </w:r>
      <w:r>
        <w:t xml:space="preserve"> </w:t>
      </w:r>
      <m:oMath>
        <m:r>
          <m:t>10</m:t>
        </m:r>
        <m:r>
          <m:rPr>
            <m:nor/>
            <m:sty m:val="p"/>
          </m:rPr>
          <m:t> to </m:t>
        </m:r>
        <m:r>
          <m:t>30</m:t>
        </m:r>
        <m:r>
          <m:rPr>
            <m:sty m:val="p"/>
          </m:rPr>
          <m:t>%</m:t>
        </m:r>
      </m:oMath>
      <w:r>
        <w:t xml:space="preserve">; (2) delays emergence velocity (</w:t>
      </w:r>
      <m:oMath>
        <m:sSub>
          <m:e>
            <m:r>
              <m:t>t</m:t>
            </m:r>
          </m:e>
          <m:sub>
            <m:r>
              <m:t>50</m:t>
            </m:r>
          </m:sub>
        </m:sSub>
      </m:oMath>
      <w:r>
        <w:t xml:space="preserve"> </w:t>
      </w:r>
      <w:r>
        <w:t xml:space="preserve">lag of 12–36 h), dampening early seedling elongation and fresh biomass yields by 20–30%; (3) downregulates rate-limiting chlorophyll (</w:t>
      </w:r>
      <w:r>
        <w:rPr>
          <w:i/>
          <w:iCs/>
        </w:rPr>
        <w:t xml:space="preserve">HEMA1</w:t>
      </w:r>
      <w:r>
        <w:t xml:space="preserve">,</w:t>
      </w:r>
      <w:r>
        <w:t xml:space="preserve"> </w:t>
      </w:r>
      <w:r>
        <w:rPr>
          <w:i/>
          <w:iCs/>
        </w:rPr>
        <w:t xml:space="preserve">CHLH</w:t>
      </w:r>
      <w:r>
        <w:t xml:space="preserve">,</w:t>
      </w:r>
      <w:r>
        <w:t xml:space="preserve"> </w:t>
      </w:r>
      <w:r>
        <w:rPr>
          <w:i/>
          <w:iCs/>
        </w:rPr>
        <w:t xml:space="preserve">POR</w:t>
      </w:r>
      <w:r>
        <w:t xml:space="preserve">) and anthocyanin (</w:t>
      </w:r>
      <w:r>
        <w:rPr>
          <w:i/>
          <w:iCs/>
        </w:rPr>
        <w:t xml:space="preserve">CHS</w:t>
      </w:r>
      <w:r>
        <w:t xml:space="preserve">,</w:t>
      </w:r>
      <w:r>
        <w:t xml:space="preserve"> </w:t>
      </w:r>
      <w:r>
        <w:rPr>
          <w:i/>
          <w:iCs/>
        </w:rPr>
        <w:t xml:space="preserve">CHI</w:t>
      </w:r>
      <w:r>
        <w:t xml:space="preserve">) biosynthetic genes through cryptochrome (CRY1/CRY2) and HY5 transcriptional signaling; and (4) engages a common bioenergetic stress response shared with ionizing radiation and exploration atmospheres (hypobaric</w:t>
      </w:r>
      <w:r>
        <w:t xml:space="preserve"> </w:t>
      </w:r>
      <m:oMath>
        <m:r>
          <m:t>56.5</m:t>
        </m:r>
        <m:r>
          <m:rPr>
            <m:nor/>
            <m:sty m:val="p"/>
          </m:rPr>
          <m:t> kPa</m:t>
        </m:r>
        <m:r>
          <m:rPr>
            <m:sty m:val="p"/>
          </m:rPr>
          <m:t>/</m:t>
        </m:r>
        <m:r>
          <m:t>8.2</m:t>
        </m:r>
        <m:r>
          <m:rPr>
            <m:nor/>
            <m:sty m:val="p"/>
          </m:rPr>
          <m:t> psia</m:t>
        </m:r>
      </m:oMath>
      <w:r>
        <w:t xml:space="preserve">,</w:t>
      </w:r>
      <w:r>
        <w:t xml:space="preserve"> </w:t>
      </w:r>
      <m:oMath>
        <m:r>
          <m:t>34</m:t>
        </m:r>
        <m:r>
          <m:rPr>
            <m:sty m:val="p"/>
          </m:rPr>
          <m:t>%</m:t>
        </m:r>
        <m:r>
          <m:t> </m:t>
        </m:r>
        <m:sSub>
          <m:e>
            <m:r>
              <m:rPr>
                <m:nor/>
                <m:sty m:val="p"/>
              </m:rPr>
              <m:t>O</m:t>
            </m:r>
          </m:e>
          <m:sub>
            <m:r>
              <m:t>2</m:t>
            </m:r>
          </m:sub>
        </m:sSub>
      </m:oMath>
      <w:r>
        <w:t xml:space="preserve">, elevated</w:t>
      </w:r>
      <w:r>
        <w:t xml:space="preserve"> </w:t>
      </w:r>
      <m:oMath>
        <m:r>
          <m:t>1200</m:t>
        </m:r>
        <m:r>
          <m:rPr>
            <m:nor/>
            <m:sty m:val="p"/>
          </m:rPr>
          <m:t>–</m:t>
        </m:r>
        <m:r>
          <m:t>3000</m:t>
        </m:r>
        <m:sSub>
          <m:e>
            <m:r>
              <m:rPr>
                <m:nor/>
                <m:sty m:val="p"/>
              </m:rPr>
              <m:t> ppm CO</m:t>
            </m:r>
          </m:e>
          <m:sub>
            <m:r>
              <m:t>2</m:t>
            </m:r>
          </m:sub>
        </m:sSub>
      </m:oMath>
      <w:r>
        <w:t xml:space="preserve">). Specifically, we show that near-null fields modulate the organellar</w:t>
      </w:r>
      <w:r>
        <w:t xml:space="preserve"> </w:t>
      </w:r>
      <m:oMath>
        <m:sSub>
          <m:e>
            <m:r>
              <m:rPr>
                <m:nor/>
                <m:sty m:val="p"/>
              </m:rPr>
              <m:t>CO</m:t>
            </m:r>
          </m:e>
          <m:sub>
            <m:r>
              <m:t>2</m:t>
            </m:r>
          </m:sub>
        </m:sSub>
        <m:r>
          <m:rPr>
            <m:sty m:val="p"/>
          </m:rPr>
          <m:t>↔</m:t>
        </m:r>
        <m:sSub>
          <m:e>
            <m:r>
              <m:rPr>
                <m:nor/>
                <m:sty m:val="p"/>
              </m:rPr>
              <m:t>O</m:t>
            </m:r>
          </m:e>
          <m:sub>
            <m:r>
              <m:t>2</m:t>
            </m:r>
          </m:sub>
        </m:sSub>
        <m:r>
          <m:rPr>
            <m:sty m:val="p"/>
          </m:rPr>
          <m:t>↔</m:t>
        </m:r>
        <m:r>
          <m:rPr>
            <m:nor/>
            <m:sty m:val="p"/>
          </m:rPr>
          <m:t>ROS</m:t>
        </m:r>
      </m:oMath>
      <w:r>
        <w:t xml:space="preserve"> </w:t>
      </w:r>
      <w:r>
        <w:t xml:space="preserve">equilibrium, converging with low-dose radiation on mitochondrial Alternative Oxidase (</w:t>
      </w:r>
      <w:r>
        <w:rPr>
          <w:i/>
          <w:iCs/>
        </w:rPr>
        <w:t xml:space="preserve">AOX1D</w:t>
      </w:r>
      <w:r>
        <w:t xml:space="preserve">) and Catalase (</w:t>
      </w:r>
      <w:r>
        <w:rPr>
          <w:i/>
          <w:iCs/>
        </w:rPr>
        <w:t xml:space="preserve">CAT3</w:t>
      </w:r>
      <w:r>
        <w:t xml:space="preserve">) to buffer excessive electron leakage. Crucially, this plant mitochondrial bioenergetic phenotype directly mirrors the conserved mitochondrial dysregulation observed in human astronauts. Finally, we establish a rigorous framework that strictly separates fundamental scientific research gaps from flight payload engineering constraints, recommending sample-level 3-axis passive magnetic logging at the plant canopy level, matched-current bifilar sham controls in ground testing, hardware self-magnetic power-state assessment protocols, and a post-flight phenotypic disambiguation matrix to secure agricultural productivity on the lunar surface.</w:t>
      </w:r>
    </w:p>
    <w:p>
      <w:pPr>
        <w:pStyle w:val="BodyText"/>
      </w:pPr>
      <w:r>
        <w:rPr>
          <w:b/>
          <w:bCs/>
        </w:rPr>
        <w:t xml:space="preserve">Keywords:</w:t>
      </w:r>
      <w:r>
        <w:t xml:space="preserve"> </w:t>
      </w:r>
      <w:r>
        <w:t xml:space="preserve">Lunar plant biology; Near-null magnetic field (NNMF); Hypomagnetic field (HMF); Seed germination; Artemis LEAF payload; Mitochondrial bioenergetics; Reactive oxygen species (ROS); Exploration atmosphere; Alternative oxidase (AOX); Environmental magnetometry.</w:t>
      </w:r>
    </w:p>
    <w:p>
      <w:r>
        <w:pict>
          <v:rect style="width:0;height:1.5pt" o:hralign="center" o:hrstd="t" o:hr="t"/>
        </w:pict>
      </w:r>
    </w:p>
    <w:bookmarkEnd w:id="10"/>
    <w:bookmarkStart w:id="19" w:name="X47f3fd7034080f7548807771aae3e98492dafa0"/>
    <w:p>
      <w:pPr>
        <w:pStyle w:val="Heading2"/>
      </w:pPr>
      <w:r>
        <w:t xml:space="preserve">1. Introduction: The Lunar Magnetic Environment &amp; The</w:t>
      </w:r>
      <w:r>
        <w:t xml:space="preserve"> </w:t>
      </w:r>
      <w:r>
        <w:t xml:space="preserve">“Missing Variable”</w:t>
      </w:r>
      <w:r>
        <w:t xml:space="preserve"> </w:t>
      </w:r>
      <w:r>
        <w:t xml:space="preserve">in Space Biology</w:t>
      </w:r>
    </w:p>
    <w:bookmarkStart w:id="14" w:name="X44e7ae11d9e5ee976ff797318bbcaf822eb2692"/>
    <w:p>
      <w:pPr>
        <w:pStyle w:val="Heading3"/>
      </w:pPr>
      <w:r>
        <w:t xml:space="preserve">1.1 The Operational Context of Lunar Agriculture</w:t>
      </w:r>
    </w:p>
    <w:p>
      <w:pPr>
        <w:pStyle w:val="FirstParagraph"/>
      </w:pPr>
      <w:r>
        <w:t xml:space="preserve">Bioregenerative Life Support Systems (BLSS) and autonomous plant growth chambers are recognized as critical operational infrastructure for long-duration human exploration of the Moon and Mars [1–3]. Plants provide continuous carbon dioxide scrubbing, metabolic oxygen regeneration, graywater purification, psychological well-being, and fresh dietary biomass enriched in essential vitamins, polyphenols, and antioxidant cofactors [4,5]. Recognizing this operational imperative, NASA selected the</w:t>
      </w:r>
      <w:r>
        <w:t xml:space="preserve"> </w:t>
      </w:r>
      <w:r>
        <w:rPr>
          <w:b/>
          <w:bCs/>
        </w:rPr>
        <w:t xml:space="preserve">Lunar Effects on Agricultural Flora (LEAF)</w:t>
      </w:r>
      <w:r>
        <w:t xml:space="preserve"> </w:t>
      </w:r>
      <w:r>
        <w:t xml:space="preserve">investigation as one of the initial deployed surface payloads for an Artemis lunar surface science mission to the lunar South Pole [1,6].</w:t>
      </w:r>
    </w:p>
    <w:p>
      <w:pPr>
        <w:pStyle w:val="BodyText"/>
      </w:pPr>
      <w:r>
        <w:t xml:space="preserve">Spanning over six decades, space plant biology has systematically focused on a recognized suite of physical stressors: altered gravitational acceleration (microgravity in transit,</w:t>
      </w:r>
      <w:r>
        <w:t xml:space="preserve"> </w:t>
      </w:r>
      <m:oMath>
        <m:r>
          <m:t>0.166</m:t>
        </m:r>
        <m:r>
          <m:t> </m:t>
        </m:r>
        <m:r>
          <m:t>g</m:t>
        </m:r>
      </m:oMath>
      <w:r>
        <w:t xml:space="preserve"> </w:t>
      </w:r>
      <w:r>
        <w:t xml:space="preserve">on the Moon,</w:t>
      </w:r>
      <w:r>
        <w:t xml:space="preserve"> </w:t>
      </w:r>
      <m:oMath>
        <m:r>
          <m:t>0.38</m:t>
        </m:r>
        <m:r>
          <m:t> </m:t>
        </m:r>
        <m:r>
          <m:t>g</m:t>
        </m:r>
      </m:oMath>
      <w:r>
        <w:t xml:space="preserve"> </w:t>
      </w:r>
      <w:r>
        <w:t xml:space="preserve">on Mars), acute and chronic space radiation (Galactic Cosmic Radiation [GCR] and Solar Particle Events [SPE]), fluidic transport and root-zone hypoxia in porous media, elevated carbon dioxide levels (</w:t>
      </w:r>
      <m:oMath>
        <m:r>
          <m:t>1000</m:t>
        </m:r>
        <m:r>
          <m:rPr>
            <m:nor/>
            <m:sty m:val="p"/>
          </m:rPr>
          <m:t>–</m:t>
        </m:r>
        <m:r>
          <m:t>4000</m:t>
        </m:r>
        <m:r>
          <m:rPr>
            <m:nor/>
            <m:sty m:val="p"/>
          </m:rPr>
          <m:t> ppm</m:t>
        </m:r>
      </m:oMath>
      <w:r>
        <w:t xml:space="preserve">), hypobaric atmospheric pressures (</w:t>
      </w:r>
      <m:oMath>
        <m:r>
          <m:t>56.5</m:t>
        </m:r>
        <m:r>
          <m:rPr>
            <m:nor/>
            <m:sty m:val="p"/>
          </m:rPr>
          <m:t> kPa</m:t>
        </m:r>
        <m:r>
          <m:rPr>
            <m:sty m:val="p"/>
          </m:rPr>
          <m:t>/</m:t>
        </m:r>
        <m:r>
          <m:t>8.2</m:t>
        </m:r>
        <m:r>
          <m:rPr>
            <m:nor/>
            <m:sty m:val="p"/>
          </m:rPr>
          <m:t> psia</m:t>
        </m:r>
      </m:oMath>
      <w:r>
        <w:t xml:space="preserve"> </w:t>
      </w:r>
      <w:r>
        <w:t xml:space="preserve">to</w:t>
      </w:r>
      <w:r>
        <w:t xml:space="preserve"> </w:t>
      </w:r>
      <m:oMath>
        <m:r>
          <m:t>34</m:t>
        </m:r>
        <m:r>
          <m:rPr>
            <m:nor/>
            <m:sty m:val="p"/>
          </m:rPr>
          <m:t> kPa</m:t>
        </m:r>
      </m:oMath>
      <w:r>
        <w:t xml:space="preserve">), and narrow-spectrum solid-state LED illumination [7–9].</w:t>
      </w:r>
    </w:p>
    <w:p>
      <w:pPr>
        <w:pStyle w:val="BodyText"/>
      </w:pPr>
      <w:r>
        <w:t xml:space="preserve">However,</w:t>
      </w:r>
      <w:r>
        <w:t xml:space="preserve"> </w:t>
      </w:r>
      <w:r>
        <w:rPr>
          <w:b/>
          <w:bCs/>
        </w:rPr>
        <w:t xml:space="preserve">the local magnetic field vector within the biological specimen volume is only beginning to be treated as a primary experimental and operational design variable</w:t>
      </w:r>
      <w:r>
        <w:t xml:space="preserve"> </w:t>
      </w:r>
      <w:r>
        <w:t xml:space="preserve">[10–12]. On Earth and in low Earth orbit (LEO, e.g., aboard the International Space Station), biological organisms develop entirely within the protection of the terrestrial dipolar geomagnetic field (GMF), spanning approximately</w:t>
      </w:r>
      <w:r>
        <w:t xml:space="preserve"> </w:t>
      </w:r>
      <m:oMath>
        <m:r>
          <m:t>25</m:t>
        </m:r>
        <m:r>
          <m:rPr>
            <m:nor/>
            <m:sty m:val="p"/>
          </m:rPr>
          <m:t>–</m:t>
        </m:r>
        <m:r>
          <m:t>65</m:t>
        </m:r>
        <m:r>
          <m:t> </m:t>
        </m:r>
        <m:r>
          <m:t>μ</m:t>
        </m:r>
        <m:r>
          <m:rPr>
            <m:nor/>
            <m:sty m:val="p"/>
          </m:rPr>
          <m:t>T</m:t>
        </m:r>
      </m:oMath>
      <w:r>
        <w:t xml:space="preserve"> </w:t>
      </w:r>
      <w:r>
        <w:t xml:space="preserve">at the planetary surface [13] (Figure 1). Beyond low Earth orbit (BLEO) and upon the lunar surface, this planetary geodynamo is absent. The ambient interplanetary magnetic field (IMF) transported by the solar wind is typically only</w:t>
      </w:r>
      <w:r>
        <w:t xml:space="preserve"> </w:t>
      </w:r>
      <m:oMath>
        <m:r>
          <m:t>1</m:t>
        </m:r>
        <m:r>
          <m:rPr>
            <m:nor/>
            <m:sty m:val="p"/>
          </m:rPr>
          <m:t>–</m:t>
        </m:r>
        <m:r>
          <m:t>5</m:t>
        </m:r>
        <m:r>
          <m:rPr>
            <m:nor/>
            <m:sty m:val="p"/>
          </m:rPr>
          <m:t> nT</m:t>
        </m:r>
      </m:oMath>
      <w:r>
        <w:t xml:space="preserve">, dropping to fractions of a nanotesla (</w:t>
      </w:r>
      <m:oMath>
        <m:r>
          <m:rPr>
            <m:sty m:val="p"/>
          </m:rPr>
          <m:t>&lt;</m:t>
        </m:r>
        <m:r>
          <m:t>0.1</m:t>
        </m:r>
        <m:r>
          <m:rPr>
            <m:nor/>
            <m:sty m:val="p"/>
          </m:rPr>
          <m:t>–</m:t>
        </m:r>
        <m:r>
          <m:t>0.5</m:t>
        </m:r>
        <m:r>
          <m:rPr>
            <m:nor/>
            <m:sty m:val="p"/>
          </m:rPr>
          <m:t> nT</m:t>
        </m:r>
      </m:oMath>
      <w:r>
        <w:t xml:space="preserve">) during transits through the distant lobes of the terrestrial magnetotail [14,15].</w:t>
      </w:r>
    </w:p>
    <w:p>
      <w:pPr>
        <w:pStyle w:val="BodyText"/>
      </w:pPr>
      <w:r>
        <w:drawing>
          <wp:inline>
            <wp:extent cx="5334000" cy="4503536"/>
            <wp:effectExtent b="0" l="0" r="0" t="0"/>
            <wp:docPr descr="Figure 1" title="" id="12" name="Picture"/>
            <a:graphic>
              <a:graphicData uri="http://schemas.openxmlformats.org/drawingml/2006/picture">
                <pic:pic>
                  <pic:nvPicPr>
                    <pic:cNvPr descr="/Users/drb_laptop/Documents/NMF_review/figures/Fig1_lunar_magnetic_environment_montage.png" id="13" name="Picture"/>
                    <pic:cNvPicPr>
                      <a:picLocks noChangeArrowheads="1" noChangeAspect="1"/>
                    </pic:cNvPicPr>
                  </pic:nvPicPr>
                  <pic:blipFill>
                    <a:blip r:embed="rId11"/>
                    <a:stretch>
                      <a:fillRect/>
                    </a:stretch>
                  </pic:blipFill>
                  <pic:spPr bwMode="auto">
                    <a:xfrm>
                      <a:off x="0" y="0"/>
                      <a:ext cx="5334000" cy="4503536"/>
                    </a:xfrm>
                    <a:prstGeom prst="rect">
                      <a:avLst/>
                    </a:prstGeom>
                    <a:noFill/>
                    <a:ln w="9525">
                      <a:noFill/>
                      <a:headEnd/>
                      <a:tailEnd/>
                    </a:ln>
                  </pic:spPr>
                </pic:pic>
              </a:graphicData>
            </a:graphic>
          </wp:inline>
        </w:drawing>
      </w:r>
      <w:r>
        <w:t xml:space="preserve"> </w:t>
      </w:r>
      <w:r>
        <w:rPr>
          <w:b/>
          <w:bCs/>
        </w:rPr>
        <w:t xml:space="preserve">Figure 1 | Lunar surface magnetic field environments, candidate exploration sites, and biological exposure superposition.</w:t>
      </w:r>
      <w:r>
        <w:br/>
      </w:r>
      <w:r>
        <w:rPr>
          <w:b/>
          <w:bCs/>
        </w:rPr>
        <w:t xml:space="preserve">(a) Global Lunar Crustal Magnetic Field Distribution:</w:t>
      </w:r>
      <w:r>
        <w:t xml:space="preserve"> </w:t>
      </w:r>
      <w:r>
        <w:t xml:space="preserve">Total field magnitude (</w:t>
      </w:r>
      <m:oMath>
        <m:r>
          <m:rPr>
            <m:sty m:val="p"/>
          </m:rPr>
          <m:t>|</m:t>
        </m:r>
        <m:r>
          <m:rPr>
            <m:sty m:val="bi"/>
          </m:rPr>
          <m:t>B</m:t>
        </m:r>
        <m:r>
          <m:rPr>
            <m:sty m:val="p"/>
          </m:rPr>
          <m:t>|</m:t>
        </m:r>
      </m:oMath>
      <w:r>
        <w:t xml:space="preserve"> </w:t>
      </w:r>
      <w:r>
        <w:t xml:space="preserve">in nanoteslas evaluated at 30 km reference mapping altitude) derived from Lunar Prospector and Kaguya magnetometer observations [16,17], overlaid with landing coordinates for Apollo (white circles), Chang’e (yellow squares), Chandrayaan (cyan triangles), and Artemis candidate zones (red stars). Dashed red rectangle highlights the South Polar exploration corridor.</w:t>
      </w:r>
      <w:r>
        <w:br/>
      </w:r>
      <w:r>
        <w:rPr>
          <w:b/>
          <w:bCs/>
        </w:rPr>
        <w:t xml:space="preserve">(b) Candidate Artemis Exploration Regions:</w:t>
      </w:r>
      <w:r>
        <w:t xml:space="preserve"> </w:t>
      </w:r>
      <w:r>
        <w:t xml:space="preserve">Fine-scale distribution of candidate Artemis landing sites situated within the deep South Polar magnetic void (</w:t>
      </w:r>
      <m:oMath>
        <m:r>
          <m:t>0.40</m:t>
        </m:r>
        <m:r>
          <m:rPr>
            <m:nor/>
            <m:sty m:val="p"/>
          </m:rPr>
          <m:t>–</m:t>
        </m:r>
        <m:r>
          <m:t>0.82</m:t>
        </m:r>
        <m:r>
          <m:rPr>
            <m:nor/>
            <m:sty m:val="p"/>
          </m:rPr>
          <m:t> nT</m:t>
        </m:r>
      </m:oMath>
      <w:r>
        <w:t xml:space="preserve"> </w:t>
      </w:r>
      <w:r>
        <w:t xml:space="preserve">crustal component at 30 km altitude). Annotated values indicate crustal field magnitude at each specific feature (e.g., Faustini Rim A:</w:t>
      </w:r>
      <w:r>
        <w:t xml:space="preserve"> </w:t>
      </w:r>
      <m:oMath>
        <m:r>
          <m:t>0.45</m:t>
        </m:r>
        <m:r>
          <m:rPr>
            <m:nor/>
            <m:sty m:val="p"/>
          </m:rPr>
          <m:t> nT</m:t>
        </m:r>
      </m:oMath>
      <w:r>
        <w:t xml:space="preserve">, Haworth:</w:t>
      </w:r>
      <w:r>
        <w:t xml:space="preserve"> </w:t>
      </w:r>
      <m:oMath>
        <m:r>
          <m:t>0.40</m:t>
        </m:r>
        <m:r>
          <m:rPr>
            <m:nor/>
            <m:sty m:val="p"/>
          </m:rPr>
          <m:t> nT</m:t>
        </m:r>
      </m:oMath>
      <w:r>
        <w:t xml:space="preserve">, Connecting Ridge:</w:t>
      </w:r>
      <w:r>
        <w:t xml:space="preserve"> </w:t>
      </w:r>
      <m:oMath>
        <m:r>
          <m:t>0.60</m:t>
        </m:r>
        <m:r>
          <m:rPr>
            <m:nor/>
            <m:sty m:val="p"/>
          </m:rPr>
          <m:t> nT</m:t>
        </m:r>
      </m:oMath>
      <w:r>
        <w:t xml:space="preserve">, Peak Near Shackleton:</w:t>
      </w:r>
      <w:r>
        <w:t xml:space="preserve"> </w:t>
      </w:r>
      <m:oMath>
        <m:r>
          <m:t>0.82</m:t>
        </m:r>
        <m:r>
          <m:rPr>
            <m:nor/>
            <m:sty m:val="p"/>
          </m:rPr>
          <m:t> nT</m:t>
        </m:r>
      </m:oMath>
      <w:r>
        <w:t xml:space="preserve">) derived from South Polar orbital models [16–18].</w:t>
      </w:r>
      <w:r>
        <w:br/>
      </w:r>
      <w:r>
        <w:rPr>
          <w:b/>
          <w:bCs/>
        </w:rPr>
        <w:t xml:space="preserve">(c) A Priori Magnetic Field Classification at Exploration &amp; Historical Sites:</w:t>
      </w:r>
      <w:r>
        <w:t xml:space="preserve"> </w:t>
      </w:r>
      <w:r>
        <w:t xml:space="preserve">Binned comparison across 23 historical and planned exploration sites stratified into four biologically defined exposure regimes: Deep Near-Null (</w:t>
      </w:r>
      <m:oMath>
        <m:r>
          <m:rPr>
            <m:sty m:val="p"/>
          </m:rPr>
          <m:t>&lt;</m:t>
        </m:r>
        <m:r>
          <m:t>1</m:t>
        </m:r>
        <m:r>
          <m:rPr>
            <m:nor/>
            <m:sty m:val="p"/>
          </m:rPr>
          <m:t> nT</m:t>
        </m:r>
      </m:oMath>
      <w:r>
        <w:t xml:space="preserve">), Near-Null Magnetic Field (NNMF,</w:t>
      </w:r>
      <w:r>
        <w:t xml:space="preserve"> </w:t>
      </w:r>
      <m:oMath>
        <m:r>
          <m:t>1</m:t>
        </m:r>
        <m:r>
          <m:rPr>
            <m:nor/>
            <m:sty m:val="p"/>
          </m:rPr>
          <m:t>–</m:t>
        </m:r>
        <m:r>
          <m:t>10</m:t>
        </m:r>
        <m:r>
          <m:rPr>
            <m:nor/>
            <m:sty m:val="p"/>
          </m:rPr>
          <m:t> nT</m:t>
        </m:r>
      </m:oMath>
      <w:r>
        <w:t xml:space="preserve">), Moderate Hypomagnetic Field (HMF,</w:t>
      </w:r>
      <w:r>
        <w:t xml:space="preserve"> </w:t>
      </w:r>
      <m:oMath>
        <m:r>
          <m:t>10</m:t>
        </m:r>
        <m:r>
          <m:rPr>
            <m:nor/>
            <m:sty m:val="p"/>
          </m:rPr>
          <m:t> nT to </m:t>
        </m:r>
        <m:r>
          <m:t>5</m:t>
        </m:r>
        <m:r>
          <m:t> </m:t>
        </m:r>
        <m:r>
          <m:t>μ</m:t>
        </m:r>
        <m:r>
          <m:rPr>
            <m:nor/>
            <m:sty m:val="p"/>
          </m:rPr>
          <m:t>T</m:t>
        </m:r>
      </m:oMath>
      <w:r>
        <w:t xml:space="preserve">), and Geomagnetic Field (GMF,</w:t>
      </w:r>
      <w:r>
        <w:t xml:space="preserve"> </w:t>
      </w:r>
      <m:oMath>
        <m:r>
          <m:t>25</m:t>
        </m:r>
        <m:r>
          <m:rPr>
            <m:nor/>
            <m:sty m:val="p"/>
          </m:rPr>
          <m:t>–</m:t>
        </m:r>
        <m:r>
          <m:t>65</m:t>
        </m:r>
        <m:r>
          <m:t> </m:t>
        </m:r>
        <m:r>
          <m:t>μ</m:t>
        </m:r>
        <m:r>
          <m:rPr>
            <m:nor/>
            <m:sty m:val="p"/>
          </m:rPr>
          <m:t>T</m:t>
        </m:r>
      </m:oMath>
      <w:r>
        <w:t xml:space="preserve">,</w:t>
      </w:r>
      <w:r>
        <w:t xml:space="preserve"> </w:t>
      </w:r>
      <m:oMath>
        <m:r>
          <m:rPr>
            <m:sty m:val="p"/>
          </m:rPr>
          <m:t>&gt;</m:t>
        </m:r>
        <m:r>
          <m:t>30</m:t>
        </m:r>
        <m:r>
          <m:rPr>
            <m:sty m:val="p"/>
          </m:rPr>
          <m:t>,</m:t>
        </m:r>
        <m:r>
          <m:t>000</m:t>
        </m:r>
        <m:r>
          <m:rPr>
            <m:sty m:val="p"/>
          </m:rPr>
          <m:t>×</m:t>
        </m:r>
      </m:oMath>
      <w:r>
        <w:t xml:space="preserve"> </w:t>
      </w:r>
      <w:r>
        <w:t xml:space="preserve">higher). All Artemis South Pole candidate sites reside strictly below the</w:t>
      </w:r>
      <w:r>
        <w:t xml:space="preserve"> </w:t>
      </w:r>
      <m:oMath>
        <m:r>
          <m:t>1.0</m:t>
        </m:r>
        <m:r>
          <m:rPr>
            <m:nor/>
            <m:sty m:val="p"/>
          </m:rPr>
          <m:t> nT</m:t>
        </m:r>
      </m:oMath>
      <w:r>
        <w:t xml:space="preserve"> </w:t>
      </w:r>
      <w:r>
        <w:t xml:space="preserve">deep near-null boundary, contrasting sharply with isolated crustal swirl anomalies (e.g., Apollo 16 Descartes highlands:</w:t>
      </w:r>
      <w:r>
        <w:t xml:space="preserve"> </w:t>
      </w:r>
      <m:oMath>
        <m:r>
          <m:t>4.94</m:t>
        </m:r>
        <m:r>
          <m:rPr>
            <m:nor/>
            <m:sty m:val="p"/>
          </m:rPr>
          <m:t> nT</m:t>
        </m:r>
      </m:oMath>
      <w:r>
        <w:t xml:space="preserve">; Reiner Gamma: tens of nT).</w:t>
      </w:r>
      <w:r>
        <w:br/>
      </w:r>
      <w:r>
        <w:rPr>
          <w:b/>
          <w:bCs/>
        </w:rPr>
        <w:t xml:space="preserve">(d) Superposition Vector Equation &amp; Biological Exposure Budget:</w:t>
      </w:r>
      <w:r>
        <w:t xml:space="preserve"> </w:t>
      </w:r>
      <w:r>
        <w:t xml:space="preserve">Vector summation governing the local field inside a lunar plant growth enclosure:</w:t>
      </w:r>
      <w:r>
        <w:t xml:space="preserve"> </w:t>
      </w:r>
      <m:oMath>
        <m:sSub>
          <m:e>
            <m:r>
              <m:rPr>
                <m:sty m:val="bi"/>
              </m:rPr>
              <m:t>B</m:t>
            </m:r>
          </m:e>
          <m:sub>
            <m:r>
              <m:rPr>
                <m:nor/>
                <m:sty m:val="p"/>
              </m:rPr>
              <m:t>total</m:t>
            </m:r>
          </m:sub>
        </m:sSub>
        <m:r>
          <m:rPr>
            <m:sty m:val="p"/>
          </m:rPr>
          <m:t>(</m:t>
        </m:r>
        <m:r>
          <m:t>t</m:t>
        </m:r>
        <m:r>
          <m:rPr>
            <m:sty m:val="p"/>
          </m:rPr>
          <m:t>,</m:t>
        </m:r>
        <m:r>
          <m:rPr>
            <m:sty m:val="bi"/>
          </m:rPr>
          <m:t>x</m:t>
        </m:r>
        <m:r>
          <m:rPr>
            <m:sty m:val="p"/>
          </m:rPr>
          <m:t>)</m:t>
        </m:r>
        <m:r>
          <m:rPr>
            <m:sty m:val="p"/>
          </m:rPr>
          <m:t>=</m:t>
        </m:r>
        <m:sSub>
          <m:e>
            <m:r>
              <m:rPr>
                <m:sty m:val="bi"/>
              </m:rPr>
              <m:t>B</m:t>
            </m:r>
          </m:e>
          <m:sub>
            <m:r>
              <m:rPr>
                <m:nor/>
                <m:sty m:val="p"/>
              </m:rPr>
              <m:t>crust</m:t>
            </m:r>
          </m:sub>
        </m:sSub>
        <m:r>
          <m:rPr>
            <m:sty m:val="p"/>
          </m:rPr>
          <m:t>+</m:t>
        </m:r>
        <m:sSub>
          <m:e>
            <m:r>
              <m:rPr>
                <m:sty m:val="bi"/>
              </m:rPr>
              <m:t>B</m:t>
            </m:r>
          </m:e>
          <m:sub>
            <m:r>
              <m:rPr>
                <m:nor/>
                <m:sty m:val="p"/>
              </m:rPr>
              <m:t>ext</m:t>
            </m:r>
          </m:sub>
        </m:sSub>
        <m:r>
          <m:rPr>
            <m:sty m:val="p"/>
          </m:rPr>
          <m:t>+</m:t>
        </m:r>
        <m:sSub>
          <m:e>
            <m:r>
              <m:rPr>
                <m:sty m:val="bi"/>
              </m:rPr>
              <m:t>B</m:t>
            </m:r>
          </m:e>
          <m:sub>
            <m:r>
              <m:rPr>
                <m:nor/>
                <m:sty m:val="p"/>
              </m:rPr>
              <m:t>lander</m:t>
            </m:r>
          </m:sub>
        </m:sSub>
        <m:r>
          <m:rPr>
            <m:sty m:val="p"/>
          </m:rPr>
          <m:t>+</m:t>
        </m:r>
        <m:sSub>
          <m:e>
            <m:r>
              <m:rPr>
                <m:sty m:val="bi"/>
              </m:rPr>
              <m:t>B</m:t>
            </m:r>
          </m:e>
          <m:sub>
            <m:r>
              <m:rPr>
                <m:nor/>
                <m:sty m:val="p"/>
              </m:rPr>
              <m:t>payload</m:t>
            </m:r>
          </m:sub>
        </m:sSub>
        <m:r>
          <m:rPr>
            <m:sty m:val="p"/>
          </m:rPr>
          <m:t>+</m:t>
        </m:r>
        <m:sSub>
          <m:e>
            <m:r>
              <m:rPr>
                <m:sty m:val="bi"/>
              </m:rPr>
              <m:t>B</m:t>
            </m:r>
          </m:e>
          <m:sub>
            <m:r>
              <m:rPr>
                <m:nor/>
                <m:sty m:val="p"/>
              </m:rPr>
              <m:t>control</m:t>
            </m:r>
          </m:sub>
        </m:sSub>
      </m:oMath>
      <w:r>
        <w:t xml:space="preserve">. Crucially, unshielded lander avionics DC currents (</w:t>
      </w:r>
      <m:oMath>
        <m:r>
          <m:t>50</m:t>
        </m:r>
        <m:r>
          <m:rPr>
            <m:nor/>
            <m:sty m:val="p"/>
          </m:rPr>
          <m:t>–</m:t>
        </m:r>
        <m:r>
          <m:t>500</m:t>
        </m:r>
        <m:r>
          <m:t> </m:t>
        </m:r>
        <m:r>
          <m:t>μ</m:t>
        </m:r>
        <m:r>
          <m:rPr>
            <m:nor/>
            <m:sty m:val="p"/>
          </m:rPr>
          <m:t>T</m:t>
        </m:r>
      </m:oMath>
      <w:r>
        <w:t xml:space="preserve">) and internal payload actuators (static DC</w:t>
      </w:r>
      <w:r>
        <w:t xml:space="preserve"> </w:t>
      </w:r>
      <m:oMath>
        <m:r>
          <m:t>2</m:t>
        </m:r>
        <m:r>
          <m:rPr>
            <m:nor/>
            <m:sty m:val="p"/>
          </m:rPr>
          <m:t>–</m:t>
        </m:r>
        <m:r>
          <m:t>48</m:t>
        </m:r>
        <m:r>
          <m:t> </m:t>
        </m:r>
        <m:r>
          <m:t>μ</m:t>
        </m:r>
        <m:r>
          <m:rPr>
            <m:nor/>
            <m:sty m:val="p"/>
          </m:rPr>
          <m:t>T</m:t>
        </m:r>
      </m:oMath>
      <w:r>
        <w:t xml:space="preserve"> </w:t>
      </w:r>
      <w:r>
        <w:t xml:space="preserve">vs AC PWM ripple</w:t>
      </w:r>
      <w:r>
        <w:t xml:space="preserve"> </w:t>
      </w:r>
      <m:oMath>
        <m:r>
          <m:t>15</m:t>
        </m:r>
        <m:r>
          <m:rPr>
            <m:nor/>
            <m:sty m:val="p"/>
          </m:rPr>
          <m:t>–</m:t>
        </m:r>
        <m:r>
          <m:t>50</m:t>
        </m:r>
        <m:sSub>
          <m:e>
            <m:r>
              <m:rPr>
                <m:nor/>
                <m:sty m:val="p"/>
              </m:rPr>
              <m:t> nT</m:t>
            </m:r>
          </m:e>
          <m:sub>
            <m:r>
              <m:rPr>
                <m:nor/>
                <m:sty m:val="p"/>
              </m:rPr>
              <m:t>RMS</m:t>
            </m:r>
          </m:sub>
        </m:sSub>
      </m:oMath>
      <w:r>
        <w:t xml:space="preserve">) can exceed ambient lunar crustal levels by orders of magnitude, inadvertently masking the natural hypomagnetic vacuum unless sample-level 3-axis sensing and self-field deconvolution are implemented.</w:t>
      </w:r>
    </w:p>
    <w:bookmarkEnd w:id="14"/>
    <w:bookmarkStart w:id="18" w:name="Xf629fae90100c355c912c9c3b7664349d6c7bcb"/>
    <w:p>
      <w:pPr>
        <w:pStyle w:val="Heading3"/>
      </w:pPr>
      <w:r>
        <w:t xml:space="preserve">1.2 Planetary Crustal Field Distribution, Orbital Modeling Provenance, and Surface Exposure Scaling</w:t>
      </w:r>
    </w:p>
    <w:p>
      <w:pPr>
        <w:pStyle w:val="FirstParagraph"/>
      </w:pPr>
      <w:r>
        <w:t xml:space="preserve">As demonstrated by magnetometer data compiled from the Lunar Prospector and Kaguya missions [16–18], the Moon’s crust carries localized remanent paleomagnetic anomalies (ranging from</w:t>
      </w:r>
      <w:r>
        <w:t xml:space="preserve"> </w:t>
      </w:r>
      <m:oMath>
        <m:r>
          <m:t>1</m:t>
        </m:r>
        <m:r>
          <m:rPr>
            <m:nor/>
            <m:sty m:val="p"/>
          </m:rPr>
          <m:t> to </m:t>
        </m:r>
        <m:r>
          <m:t>100</m:t>
        </m:r>
        <m:r>
          <m:rPr>
            <m:nor/>
            <m:sty m:val="p"/>
          </m:rPr>
          <m:t>s of nT</m:t>
        </m:r>
      </m:oMath>
      <w:r>
        <w:t xml:space="preserve"> </w:t>
      </w:r>
      <w:r>
        <w:t xml:space="preserve">in regions like Reiner Gamma and the Descartes highlands near Apollo 16). However, the example candidate Artemis exploration regions in the South Polar region identified by NASA and the Artemis Lunar Surface Science Team (ALSST) [1,6,16]—such as Faustini Rim A, Haworth crater, Connecting Ridge, de Gerlache Rim, Malapert Massif, and Peak Near Shackleton—reside uniformly within a profound</w:t>
      </w:r>
      <w:r>
        <w:t xml:space="preserve"> </w:t>
      </w:r>
      <w:r>
        <w:rPr>
          <w:b/>
          <w:bCs/>
        </w:rPr>
        <w:t xml:space="preserve">deep near-null magnetic field (NNMF) environment, where ambient crustal fields range strictly between</w:t>
      </w:r>
      <w:r>
        <w:rPr>
          <w:b/>
          <w:bCs/>
        </w:rPr>
        <w:t xml:space="preserve"> </w:t>
      </w:r>
      <m:oMath>
        <m:r>
          <m:t>0.40</m:t>
        </m:r>
        <m:r>
          <m:rPr>
            <m:nor/>
            <m:sty m:val="p"/>
          </m:rPr>
          <m:t> and </m:t>
        </m:r>
        <m:r>
          <m:t>0.82</m:t>
        </m:r>
        <m:r>
          <m:rPr>
            <m:nor/>
            <m:sty m:val="p"/>
          </m:rPr>
          <m:t> nT</m:t>
        </m:r>
      </m:oMath>
      <w:r>
        <w:rPr>
          <w:b/>
          <w:bCs/>
        </w:rPr>
        <w:t xml:space="preserve"> </w:t>
      </w:r>
      <w:r>
        <w:rPr>
          <w:b/>
          <w:bCs/>
        </w:rPr>
        <w:t xml:space="preserve">at 30 km altitude</w:t>
      </w:r>
      <w:r>
        <w:t xml:space="preserve"> </w:t>
      </w:r>
      <w:r>
        <w:t xml:space="preserve">(Table 1; Figure 1b,c).</w:t>
      </w:r>
    </w:p>
    <w:p>
      <w:pPr>
        <w:pStyle w:val="BodyText"/>
      </w:pPr>
      <w:r>
        <w:rPr>
          <w:b/>
          <w:bCs/>
        </w:rPr>
        <w:t xml:space="preserve">Table 1 | Crustal magnetic field magnitude at planned Artemis candidate sites and historical lunar landing locations.</w:t>
      </w:r>
      <w:r>
        <w:t xml:space="preserve"> </w:t>
      </w:r>
      <w:r>
        <w:t xml:space="preserve">Coordinates and total magnetic field magnitude</w:t>
      </w:r>
      <w:r>
        <w:t xml:space="preserve"> </w:t>
      </w:r>
      <m:oMath>
        <m:r>
          <m:rPr>
            <m:sty m:val="p"/>
          </m:rPr>
          <m:t>|</m:t>
        </m:r>
        <m:r>
          <m:rPr>
            <m:sty m:val="bi"/>
          </m:rPr>
          <m:t>B</m:t>
        </m:r>
        <m:r>
          <m:rPr>
            <m:sty m:val="p"/>
          </m:rPr>
          <m:t>|</m:t>
        </m:r>
      </m:oMath>
      <w:r>
        <w:t xml:space="preserve"> </w:t>
      </w:r>
      <w:r>
        <w:t xml:space="preserve">at 30 km altitude derived from South Polar and equatorial orbital mapping models [16–18]. Candidate regions reflect published selections from NASA Artemis planning announcements (2022, 2024) and the Artemis Science Definition Team Report (NASA SP-20205009602).</w:t>
      </w:r>
    </w:p>
    <w:tbl>
      <w:tblPr>
        <w:tblStyle w:val="Table"/>
        <w:tblW w:type="pct" w:w="5000"/>
        <w:tblLayout w:type="fixed"/>
        <w:tblLook w:firstRow="1" w:lastRow="0" w:firstColumn="0" w:lastColumn="0" w:noHBand="0" w:noVBand="0" w:val="0020"/>
      </w:tblPr>
      <w:tblGrid>
        <w:gridCol w:w="1021"/>
        <w:gridCol w:w="1021"/>
        <w:gridCol w:w="1277"/>
        <w:gridCol w:w="1277"/>
        <w:gridCol w:w="1277"/>
        <w:gridCol w:w="1021"/>
        <w:gridCol w:w="1021"/>
      </w:tblGrid>
      <w:tr>
        <w:trPr>
          <w:tblHeader w:val="on"/>
        </w:trPr>
        <w:tc>
          <w:tcPr/>
          <w:p>
            <w:pPr>
              <w:pStyle w:val="Compact"/>
              <w:jc w:val="left"/>
            </w:pPr>
            <w:r>
              <w:t xml:space="preserve">Mission</w:t>
            </w:r>
          </w:p>
        </w:tc>
        <w:tc>
          <w:tcPr/>
          <w:p>
            <w:pPr>
              <w:pStyle w:val="Compact"/>
              <w:jc w:val="left"/>
            </w:pPr>
            <w:r>
              <w:t xml:space="preserve">Landing Feature / Example Candidate Region</w:t>
            </w:r>
          </w:p>
        </w:tc>
        <w:tc>
          <w:tcPr/>
          <w:p>
            <w:pPr>
              <w:pStyle w:val="Compact"/>
              <w:jc w:val="center"/>
            </w:pPr>
            <w:r>
              <w:t xml:space="preserve">Latitude (</w:t>
            </w:r>
            <m:oMath>
              <m:sSup>
                <m:e>
                  <m:r>
                    <m:t>​</m:t>
                  </m:r>
                </m:e>
                <m:sup>
                  <m:r>
                    <m:rPr>
                      <m:sty m:val="p"/>
                    </m:rPr>
                    <m:t>∘</m:t>
                  </m:r>
                </m:sup>
              </m:sSup>
            </m:oMath>
            <w:r>
              <w:t xml:space="preserve">)</w:t>
            </w:r>
          </w:p>
        </w:tc>
        <w:tc>
          <w:tcPr/>
          <w:p>
            <w:pPr>
              <w:pStyle w:val="Compact"/>
              <w:jc w:val="center"/>
            </w:pPr>
            <w:r>
              <w:t xml:space="preserve">Longitude (</w:t>
            </w:r>
            <m:oMath>
              <m:sSup>
                <m:e>
                  <m:r>
                    <m:t>​</m:t>
                  </m:r>
                </m:e>
                <m:sup>
                  <m:r>
                    <m:rPr>
                      <m:sty m:val="p"/>
                    </m:rPr>
                    <m:t>∘</m:t>
                  </m:r>
                </m:sup>
              </m:sSup>
            </m:oMath>
            <w:r>
              <w:t xml:space="preserve">)</w:t>
            </w:r>
          </w:p>
        </w:tc>
        <w:tc>
          <w:tcPr/>
          <w:p>
            <w:pPr>
              <w:pStyle w:val="Compact"/>
              <w:jc w:val="center"/>
            </w:pPr>
            <m:oMath>
              <m:r>
                <m:rPr>
                  <m:sty m:val="p"/>
                </m:rPr>
                <m:t>|</m:t>
              </m:r>
              <m:sSub>
                <m:e>
                  <m:r>
                    <m:rPr>
                      <m:sty m:val="bi"/>
                    </m:rPr>
                    <m:t>B</m:t>
                  </m:r>
                </m:e>
                <m:sub>
                  <m:r>
                    <m:rPr>
                      <m:nor/>
                      <m:sty m:val="p"/>
                    </m:rPr>
                    <m:t>30km</m:t>
                  </m:r>
                </m:sub>
              </m:sSub>
              <m:r>
                <m:rPr>
                  <m:sty m:val="p"/>
                </m:rPr>
                <m:t>|</m:t>
              </m:r>
            </m:oMath>
            <w:r>
              <w:t xml:space="preserve"> </w:t>
            </w:r>
            <w:r>
              <w:t xml:space="preserve">(nT)</w:t>
            </w:r>
          </w:p>
        </w:tc>
        <w:tc>
          <w:tcPr/>
          <w:p>
            <w:pPr>
              <w:pStyle w:val="Compact"/>
              <w:jc w:val="left"/>
            </w:pPr>
            <w:r>
              <w:t xml:space="preserve">Field Classification</w:t>
            </w:r>
          </w:p>
        </w:tc>
        <w:tc>
          <w:tcPr/>
          <w:p>
            <w:pPr>
              <w:pStyle w:val="Compact"/>
              <w:jc w:val="left"/>
            </w:pPr>
            <w:r>
              <w:t xml:space="preserve">Published Source</w:t>
            </w:r>
          </w:p>
        </w:tc>
      </w:tr>
      <w:tr>
        <w:tc>
          <w:tcPr/>
          <w:p>
            <w:pPr>
              <w:pStyle w:val="Compact"/>
              <w:jc w:val="left"/>
            </w:pPr>
            <w:r>
              <w:rPr>
                <w:b/>
                <w:bCs/>
              </w:rPr>
              <w:t xml:space="preserve">Artemis</w:t>
            </w:r>
          </w:p>
        </w:tc>
        <w:tc>
          <w:tcPr/>
          <w:p>
            <w:pPr>
              <w:pStyle w:val="Compact"/>
              <w:jc w:val="left"/>
            </w:pPr>
            <w:r>
              <w:t xml:space="preserve">Haworth Crater Rim (Candidate)</w:t>
            </w:r>
          </w:p>
        </w:tc>
        <w:tc>
          <w:tcPr/>
          <w:p>
            <w:pPr>
              <w:pStyle w:val="Compact"/>
              <w:jc w:val="center"/>
            </w:pPr>
            <w:r>
              <w:t xml:space="preserve">-87.40</w:t>
            </w:r>
          </w:p>
        </w:tc>
        <w:tc>
          <w:tcPr/>
          <w:p>
            <w:pPr>
              <w:pStyle w:val="Compact"/>
              <w:jc w:val="center"/>
            </w:pPr>
            <w:r>
              <w:t xml:space="preserve">358.00</w:t>
            </w:r>
          </w:p>
        </w:tc>
        <w:tc>
          <w:tcPr/>
          <w:p>
            <w:pPr>
              <w:pStyle w:val="Compact"/>
              <w:jc w:val="center"/>
            </w:pPr>
            <w:r>
              <w:t xml:space="preserve">0.40</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Faustini Rim A (Candidate)</w:t>
            </w:r>
          </w:p>
        </w:tc>
        <w:tc>
          <w:tcPr/>
          <w:p>
            <w:pPr>
              <w:pStyle w:val="Compact"/>
              <w:jc w:val="center"/>
            </w:pPr>
            <w:r>
              <w:t xml:space="preserve">-85.30</w:t>
            </w:r>
          </w:p>
        </w:tc>
        <w:tc>
          <w:tcPr/>
          <w:p>
            <w:pPr>
              <w:pStyle w:val="Compact"/>
              <w:jc w:val="center"/>
            </w:pPr>
            <w:r>
              <w:t xml:space="preserve">77.00</w:t>
            </w:r>
          </w:p>
        </w:tc>
        <w:tc>
          <w:tcPr/>
          <w:p>
            <w:pPr>
              <w:pStyle w:val="Compact"/>
              <w:jc w:val="center"/>
            </w:pPr>
            <w:r>
              <w:t xml:space="preserve">0.45</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de Gerlache Rim 2 (Candidate)</w:t>
            </w:r>
          </w:p>
        </w:tc>
        <w:tc>
          <w:tcPr/>
          <w:p>
            <w:pPr>
              <w:pStyle w:val="Compact"/>
              <w:jc w:val="center"/>
            </w:pPr>
            <w:r>
              <w:t xml:space="preserve">-88.70</w:t>
            </w:r>
          </w:p>
        </w:tc>
        <w:tc>
          <w:tcPr/>
          <w:p>
            <w:pPr>
              <w:pStyle w:val="Compact"/>
              <w:jc w:val="center"/>
            </w:pPr>
            <w:r>
              <w:t xml:space="preserve">294.00</w:t>
            </w:r>
          </w:p>
        </w:tc>
        <w:tc>
          <w:tcPr/>
          <w:p>
            <w:pPr>
              <w:pStyle w:val="Compact"/>
              <w:jc w:val="center"/>
            </w:pPr>
            <w:r>
              <w:t xml:space="preserve">0.48</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de Gerlache Rim 1 (Candidate)</w:t>
            </w:r>
          </w:p>
        </w:tc>
        <w:tc>
          <w:tcPr/>
          <w:p>
            <w:pPr>
              <w:pStyle w:val="Compact"/>
              <w:jc w:val="center"/>
            </w:pPr>
            <w:r>
              <w:t xml:space="preserve">-88.50</w:t>
            </w:r>
          </w:p>
        </w:tc>
        <w:tc>
          <w:tcPr/>
          <w:p>
            <w:pPr>
              <w:pStyle w:val="Compact"/>
              <w:jc w:val="center"/>
            </w:pPr>
            <w:r>
              <w:t xml:space="preserve">290.00</w:t>
            </w:r>
          </w:p>
        </w:tc>
        <w:tc>
          <w:tcPr/>
          <w:p>
            <w:pPr>
              <w:pStyle w:val="Compact"/>
              <w:jc w:val="center"/>
            </w:pPr>
            <w:r>
              <w:t xml:space="preserve">0.50</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de Gerlache-Kocher Massif (Candidate)</w:t>
            </w:r>
          </w:p>
        </w:tc>
        <w:tc>
          <w:tcPr/>
          <w:p>
            <w:pPr>
              <w:pStyle w:val="Compact"/>
              <w:jc w:val="center"/>
            </w:pPr>
            <w:r>
              <w:t xml:space="preserve">-86.00</w:t>
            </w:r>
          </w:p>
        </w:tc>
        <w:tc>
          <w:tcPr/>
          <w:p>
            <w:pPr>
              <w:pStyle w:val="Compact"/>
              <w:jc w:val="center"/>
            </w:pPr>
            <w:r>
              <w:t xml:space="preserve">285.00</w:t>
            </w:r>
          </w:p>
        </w:tc>
        <w:tc>
          <w:tcPr/>
          <w:p>
            <w:pPr>
              <w:pStyle w:val="Compact"/>
              <w:jc w:val="center"/>
            </w:pPr>
            <w:r>
              <w:t xml:space="preserve">0.52</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Malapert Massif (Candidate)</w:t>
            </w:r>
          </w:p>
        </w:tc>
        <w:tc>
          <w:tcPr/>
          <w:p>
            <w:pPr>
              <w:pStyle w:val="Compact"/>
              <w:jc w:val="center"/>
            </w:pPr>
            <w:r>
              <w:t xml:space="preserve">-86.00</w:t>
            </w:r>
          </w:p>
        </w:tc>
        <w:tc>
          <w:tcPr/>
          <w:p>
            <w:pPr>
              <w:pStyle w:val="Compact"/>
              <w:jc w:val="center"/>
            </w:pPr>
            <w:r>
              <w:t xml:space="preserve">0.00</w:t>
            </w:r>
          </w:p>
        </w:tc>
        <w:tc>
          <w:tcPr/>
          <w:p>
            <w:pPr>
              <w:pStyle w:val="Compact"/>
              <w:jc w:val="center"/>
            </w:pPr>
            <w:r>
              <w:t xml:space="preserve">0.55</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Nobile Rim 2 (Candidate)</w:t>
            </w:r>
          </w:p>
        </w:tc>
        <w:tc>
          <w:tcPr/>
          <w:p>
            <w:pPr>
              <w:pStyle w:val="Compact"/>
              <w:jc w:val="center"/>
            </w:pPr>
            <w:r>
              <w:t xml:space="preserve">-84.80</w:t>
            </w:r>
          </w:p>
        </w:tc>
        <w:tc>
          <w:tcPr/>
          <w:p>
            <w:pPr>
              <w:pStyle w:val="Compact"/>
              <w:jc w:val="center"/>
            </w:pPr>
            <w:r>
              <w:t xml:space="preserve">47.00</w:t>
            </w:r>
          </w:p>
        </w:tc>
        <w:tc>
          <w:tcPr/>
          <w:p>
            <w:pPr>
              <w:pStyle w:val="Compact"/>
              <w:jc w:val="center"/>
            </w:pPr>
            <w:r>
              <w:t xml:space="preserve">0.58</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Connecting Ridge (Candidate)</w:t>
            </w:r>
          </w:p>
        </w:tc>
        <w:tc>
          <w:tcPr/>
          <w:p>
            <w:pPr>
              <w:pStyle w:val="Compact"/>
              <w:jc w:val="center"/>
            </w:pPr>
            <w:r>
              <w:t xml:space="preserve">-88.00</w:t>
            </w:r>
          </w:p>
        </w:tc>
        <w:tc>
          <w:tcPr/>
          <w:p>
            <w:pPr>
              <w:pStyle w:val="Compact"/>
              <w:jc w:val="center"/>
            </w:pPr>
            <w:r>
              <w:t xml:space="preserve">137.00</w:t>
            </w:r>
          </w:p>
        </w:tc>
        <w:tc>
          <w:tcPr/>
          <w:p>
            <w:pPr>
              <w:pStyle w:val="Compact"/>
              <w:jc w:val="center"/>
            </w:pPr>
            <w:r>
              <w:t xml:space="preserve">0.60</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Nobile Rim 1 (Candidate)</w:t>
            </w:r>
          </w:p>
        </w:tc>
        <w:tc>
          <w:tcPr/>
          <w:p>
            <w:pPr>
              <w:pStyle w:val="Compact"/>
              <w:jc w:val="center"/>
            </w:pPr>
            <w:r>
              <w:t xml:space="preserve">-85.40</w:t>
            </w:r>
          </w:p>
        </w:tc>
        <w:tc>
          <w:tcPr/>
          <w:p>
            <w:pPr>
              <w:pStyle w:val="Compact"/>
              <w:jc w:val="center"/>
            </w:pPr>
            <w:r>
              <w:t xml:space="preserve">35.00</w:t>
            </w:r>
          </w:p>
        </w:tc>
        <w:tc>
          <w:tcPr/>
          <w:p>
            <w:pPr>
              <w:pStyle w:val="Compact"/>
              <w:jc w:val="center"/>
            </w:pPr>
            <w:r>
              <w:t xml:space="preserve">0.62</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Connecting Ridge Extension (Candidate)</w:t>
            </w:r>
          </w:p>
        </w:tc>
        <w:tc>
          <w:tcPr/>
          <w:p>
            <w:pPr>
              <w:pStyle w:val="Compact"/>
              <w:jc w:val="center"/>
            </w:pPr>
            <w:r>
              <w:t xml:space="preserve">-88.30</w:t>
            </w:r>
          </w:p>
        </w:tc>
        <w:tc>
          <w:tcPr/>
          <w:p>
            <w:pPr>
              <w:pStyle w:val="Compact"/>
              <w:jc w:val="center"/>
            </w:pPr>
            <w:r>
              <w:t xml:space="preserve">148.00</w:t>
            </w:r>
          </w:p>
        </w:tc>
        <w:tc>
          <w:tcPr/>
          <w:p>
            <w:pPr>
              <w:pStyle w:val="Compact"/>
              <w:jc w:val="center"/>
            </w:pPr>
            <w:r>
              <w:t xml:space="preserve">0.65</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Amundsen Rim (Candidate)</w:t>
            </w:r>
          </w:p>
        </w:tc>
        <w:tc>
          <w:tcPr/>
          <w:p>
            <w:pPr>
              <w:pStyle w:val="Compact"/>
              <w:jc w:val="center"/>
            </w:pPr>
            <w:r>
              <w:t xml:space="preserve">-84.50</w:t>
            </w:r>
          </w:p>
        </w:tc>
        <w:tc>
          <w:tcPr/>
          <w:p>
            <w:pPr>
              <w:pStyle w:val="Compact"/>
              <w:jc w:val="center"/>
            </w:pPr>
            <w:r>
              <w:t xml:space="preserve">85.00</w:t>
            </w:r>
          </w:p>
        </w:tc>
        <w:tc>
          <w:tcPr/>
          <w:p>
            <w:pPr>
              <w:pStyle w:val="Compact"/>
              <w:jc w:val="center"/>
            </w:pPr>
            <w:r>
              <w:t xml:space="preserve">0.65</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Leibnitz Beta Plateau (Candidate)</w:t>
            </w:r>
          </w:p>
        </w:tc>
        <w:tc>
          <w:tcPr/>
          <w:p>
            <w:pPr>
              <w:pStyle w:val="Compact"/>
              <w:jc w:val="center"/>
            </w:pPr>
            <w:r>
              <w:t xml:space="preserve">-85.00</w:t>
            </w:r>
          </w:p>
        </w:tc>
        <w:tc>
          <w:tcPr/>
          <w:p>
            <w:pPr>
              <w:pStyle w:val="Compact"/>
              <w:jc w:val="center"/>
            </w:pPr>
            <w:r>
              <w:t xml:space="preserve">31.00</w:t>
            </w:r>
          </w:p>
        </w:tc>
        <w:tc>
          <w:tcPr/>
          <w:p>
            <w:pPr>
              <w:pStyle w:val="Compact"/>
              <w:jc w:val="center"/>
            </w:pPr>
            <w:r>
              <w:t xml:space="preserve">0.70</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Artemis</w:t>
            </w:r>
          </w:p>
        </w:tc>
        <w:tc>
          <w:tcPr/>
          <w:p>
            <w:pPr>
              <w:pStyle w:val="Compact"/>
              <w:jc w:val="left"/>
            </w:pPr>
            <w:r>
              <w:t xml:space="preserve">Peak Near Shackleton (Candidate)</w:t>
            </w:r>
          </w:p>
        </w:tc>
        <w:tc>
          <w:tcPr/>
          <w:p>
            <w:pPr>
              <w:pStyle w:val="Compact"/>
              <w:jc w:val="center"/>
            </w:pPr>
            <w:r>
              <w:t xml:space="preserve">-89.70</w:t>
            </w:r>
          </w:p>
        </w:tc>
        <w:tc>
          <w:tcPr/>
          <w:p>
            <w:pPr>
              <w:pStyle w:val="Compact"/>
              <w:jc w:val="center"/>
            </w:pPr>
            <w:r>
              <w:t xml:space="preserve">166.00</w:t>
            </w:r>
          </w:p>
        </w:tc>
        <w:tc>
          <w:tcPr/>
          <w:p>
            <w:pPr>
              <w:pStyle w:val="Compact"/>
              <w:jc w:val="center"/>
            </w:pPr>
            <w:r>
              <w:t xml:space="preserve">0.82</w:t>
            </w:r>
          </w:p>
        </w:tc>
        <w:tc>
          <w:tcPr/>
          <w:p>
            <w:pPr>
              <w:pStyle w:val="Compact"/>
              <w:jc w:val="left"/>
            </w:pPr>
            <w:r>
              <w:rPr>
                <w:b/>
                <w:bCs/>
              </w:rPr>
              <w:t xml:space="preserve">Deep Near-Null (&lt;1 nT)</w:t>
            </w:r>
          </w:p>
        </w:tc>
        <w:tc>
          <w:tcPr/>
          <w:p>
            <w:pPr>
              <w:pStyle w:val="Compact"/>
              <w:jc w:val="left"/>
            </w:pPr>
            <w:r>
              <w:t xml:space="preserve">NASA Candidate Regions (2022/2024); Hood et al. [16]</w:t>
            </w:r>
          </w:p>
        </w:tc>
      </w:tr>
      <w:tr>
        <w:tc>
          <w:tcPr/>
          <w:p>
            <w:pPr>
              <w:pStyle w:val="Compact"/>
              <w:jc w:val="left"/>
            </w:pPr>
            <w:r>
              <w:rPr>
                <w:b/>
                <w:bCs/>
              </w:rPr>
              <w:t xml:space="preserve">Chang’e</w:t>
            </w:r>
          </w:p>
        </w:tc>
        <w:tc>
          <w:tcPr/>
          <w:p>
            <w:pPr>
              <w:pStyle w:val="Compact"/>
              <w:jc w:val="left"/>
            </w:pPr>
            <w:r>
              <w:t xml:space="preserve">Chang’e 5</w:t>
            </w:r>
          </w:p>
        </w:tc>
        <w:tc>
          <w:tcPr/>
          <w:p>
            <w:pPr>
              <w:pStyle w:val="Compact"/>
              <w:jc w:val="center"/>
            </w:pPr>
            <w:r>
              <w:t xml:space="preserve">43.06</w:t>
            </w:r>
          </w:p>
        </w:tc>
        <w:tc>
          <w:tcPr/>
          <w:p>
            <w:pPr>
              <w:pStyle w:val="Compact"/>
              <w:jc w:val="center"/>
            </w:pPr>
            <w:r>
              <w:t xml:space="preserve">308.08</w:t>
            </w:r>
          </w:p>
        </w:tc>
        <w:tc>
          <w:tcPr/>
          <w:p>
            <w:pPr>
              <w:pStyle w:val="Compact"/>
              <w:jc w:val="center"/>
            </w:pPr>
            <w:r>
              <w:t xml:space="preserve">0.10</w:t>
            </w:r>
          </w:p>
        </w:tc>
        <w:tc>
          <w:tcPr/>
          <w:p>
            <w:pPr>
              <w:pStyle w:val="Compact"/>
              <w:jc w:val="left"/>
            </w:pPr>
            <w:r>
              <w:t xml:space="preserve">Deep Near-Null (&lt;1 nT)</w:t>
            </w:r>
          </w:p>
        </w:tc>
        <w:tc>
          <w:tcPr/>
          <w:p>
            <w:pPr>
              <w:pStyle w:val="Compact"/>
              <w:jc w:val="left"/>
            </w:pPr>
            <w:r>
              <w:t xml:space="preserve">CNSA / NASA PDS Grid; Purucker &amp; Nicholas [17]</w:t>
            </w:r>
          </w:p>
        </w:tc>
      </w:tr>
      <w:tr>
        <w:tc>
          <w:tcPr/>
          <w:p>
            <w:pPr>
              <w:pStyle w:val="Compact"/>
              <w:jc w:val="left"/>
            </w:pPr>
            <w:r>
              <w:rPr>
                <w:b/>
                <w:bCs/>
              </w:rPr>
              <w:t xml:space="preserve">Chang’e</w:t>
            </w:r>
          </w:p>
        </w:tc>
        <w:tc>
          <w:tcPr/>
          <w:p>
            <w:pPr>
              <w:pStyle w:val="Compact"/>
              <w:jc w:val="left"/>
            </w:pPr>
            <w:r>
              <w:t xml:space="preserve">Chang’e 3</w:t>
            </w:r>
          </w:p>
        </w:tc>
        <w:tc>
          <w:tcPr/>
          <w:p>
            <w:pPr>
              <w:pStyle w:val="Compact"/>
              <w:jc w:val="center"/>
            </w:pPr>
            <w:r>
              <w:t xml:space="preserve">44.12</w:t>
            </w:r>
          </w:p>
        </w:tc>
        <w:tc>
          <w:tcPr/>
          <w:p>
            <w:pPr>
              <w:pStyle w:val="Compact"/>
              <w:jc w:val="center"/>
            </w:pPr>
            <w:r>
              <w:t xml:space="preserve">340.49</w:t>
            </w:r>
          </w:p>
        </w:tc>
        <w:tc>
          <w:tcPr/>
          <w:p>
            <w:pPr>
              <w:pStyle w:val="Compact"/>
              <w:jc w:val="center"/>
            </w:pPr>
            <w:r>
              <w:t xml:space="preserve">0.19</w:t>
            </w:r>
          </w:p>
        </w:tc>
        <w:tc>
          <w:tcPr/>
          <w:p>
            <w:pPr>
              <w:pStyle w:val="Compact"/>
              <w:jc w:val="left"/>
            </w:pPr>
            <w:r>
              <w:t xml:space="preserve">Deep Near-Null (&lt;1 nT)</w:t>
            </w:r>
          </w:p>
        </w:tc>
        <w:tc>
          <w:tcPr/>
          <w:p>
            <w:pPr>
              <w:pStyle w:val="Compact"/>
              <w:jc w:val="left"/>
            </w:pPr>
            <w:r>
              <w:t xml:space="preserve">CNSA / NASA PDS Grid; Purucker &amp; Nicholas [17]</w:t>
            </w:r>
          </w:p>
        </w:tc>
      </w:tr>
      <w:tr>
        <w:tc>
          <w:tcPr/>
          <w:p>
            <w:pPr>
              <w:pStyle w:val="Compact"/>
              <w:jc w:val="left"/>
            </w:pPr>
            <w:r>
              <w:rPr>
                <w:b/>
                <w:bCs/>
              </w:rPr>
              <w:t xml:space="preserve">Apollo</w:t>
            </w:r>
          </w:p>
        </w:tc>
        <w:tc>
          <w:tcPr/>
          <w:p>
            <w:pPr>
              <w:pStyle w:val="Compact"/>
              <w:jc w:val="left"/>
            </w:pPr>
            <w:r>
              <w:t xml:space="preserve">Apollo 15</w:t>
            </w:r>
          </w:p>
        </w:tc>
        <w:tc>
          <w:tcPr/>
          <w:p>
            <w:pPr>
              <w:pStyle w:val="Compact"/>
              <w:jc w:val="center"/>
            </w:pPr>
            <w:r>
              <w:t xml:space="preserve">26.13</w:t>
            </w:r>
          </w:p>
        </w:tc>
        <w:tc>
          <w:tcPr/>
          <w:p>
            <w:pPr>
              <w:pStyle w:val="Compact"/>
              <w:jc w:val="center"/>
            </w:pPr>
            <w:r>
              <w:t xml:space="preserve">3.63</w:t>
            </w:r>
          </w:p>
        </w:tc>
        <w:tc>
          <w:tcPr/>
          <w:p>
            <w:pPr>
              <w:pStyle w:val="Compact"/>
              <w:jc w:val="center"/>
            </w:pPr>
            <w:r>
              <w:t xml:space="preserve">0.23</w:t>
            </w:r>
          </w:p>
        </w:tc>
        <w:tc>
          <w:tcPr/>
          <w:p>
            <w:pPr>
              <w:pStyle w:val="Compact"/>
              <w:jc w:val="left"/>
            </w:pPr>
            <w:r>
              <w:t xml:space="preserve">Deep Near-Null (&lt;1 nT)</w:t>
            </w:r>
          </w:p>
        </w:tc>
        <w:tc>
          <w:tcPr/>
          <w:p>
            <w:pPr>
              <w:pStyle w:val="Compact"/>
              <w:jc w:val="left"/>
            </w:pPr>
            <w:r>
              <w:t xml:space="preserve">NASA PDS Equatorial Grid; Tsunakawa et al. [18]</w:t>
            </w:r>
          </w:p>
        </w:tc>
      </w:tr>
      <w:tr>
        <w:tc>
          <w:tcPr/>
          <w:p>
            <w:pPr>
              <w:pStyle w:val="Compact"/>
              <w:jc w:val="left"/>
            </w:pPr>
            <w:r>
              <w:rPr>
                <w:b/>
                <w:bCs/>
              </w:rPr>
              <w:t xml:space="preserve">Apollo</w:t>
            </w:r>
          </w:p>
        </w:tc>
        <w:tc>
          <w:tcPr/>
          <w:p>
            <w:pPr>
              <w:pStyle w:val="Compact"/>
              <w:jc w:val="left"/>
            </w:pPr>
            <w:r>
              <w:t xml:space="preserve">Apollo 14</w:t>
            </w:r>
          </w:p>
        </w:tc>
        <w:tc>
          <w:tcPr/>
          <w:p>
            <w:pPr>
              <w:pStyle w:val="Compact"/>
              <w:jc w:val="center"/>
            </w:pPr>
            <w:r>
              <w:t xml:space="preserve">-3.65</w:t>
            </w:r>
          </w:p>
        </w:tc>
        <w:tc>
          <w:tcPr/>
          <w:p>
            <w:pPr>
              <w:pStyle w:val="Compact"/>
              <w:jc w:val="center"/>
            </w:pPr>
            <w:r>
              <w:t xml:space="preserve">342.53</w:t>
            </w:r>
          </w:p>
        </w:tc>
        <w:tc>
          <w:tcPr/>
          <w:p>
            <w:pPr>
              <w:pStyle w:val="Compact"/>
              <w:jc w:val="center"/>
            </w:pPr>
            <w:r>
              <w:t xml:space="preserve">0.44</w:t>
            </w:r>
          </w:p>
        </w:tc>
        <w:tc>
          <w:tcPr/>
          <w:p>
            <w:pPr>
              <w:pStyle w:val="Compact"/>
              <w:jc w:val="left"/>
            </w:pPr>
            <w:r>
              <w:t xml:space="preserve">Deep Near-Null (&lt;1 nT)</w:t>
            </w:r>
          </w:p>
        </w:tc>
        <w:tc>
          <w:tcPr/>
          <w:p>
            <w:pPr>
              <w:pStyle w:val="Compact"/>
              <w:jc w:val="left"/>
            </w:pPr>
            <w:r>
              <w:t xml:space="preserve">NASA PDS Equatorial Grid; Tsunakawa et al. [18]</w:t>
            </w:r>
          </w:p>
        </w:tc>
      </w:tr>
      <w:tr>
        <w:tc>
          <w:tcPr/>
          <w:p>
            <w:pPr>
              <w:pStyle w:val="Compact"/>
              <w:jc w:val="left"/>
            </w:pPr>
            <w:r>
              <w:rPr>
                <w:b/>
                <w:bCs/>
              </w:rPr>
              <w:t xml:space="preserve">Chang’e</w:t>
            </w:r>
          </w:p>
        </w:tc>
        <w:tc>
          <w:tcPr/>
          <w:p>
            <w:pPr>
              <w:pStyle w:val="Compact"/>
              <w:jc w:val="left"/>
            </w:pPr>
            <w:r>
              <w:t xml:space="preserve">Chang’e 4 (South Pole-Aitken)</w:t>
            </w:r>
          </w:p>
        </w:tc>
        <w:tc>
          <w:tcPr/>
          <w:p>
            <w:pPr>
              <w:pStyle w:val="Compact"/>
              <w:jc w:val="center"/>
            </w:pPr>
            <w:r>
              <w:t xml:space="preserve">-45.46</w:t>
            </w:r>
          </w:p>
        </w:tc>
        <w:tc>
          <w:tcPr/>
          <w:p>
            <w:pPr>
              <w:pStyle w:val="Compact"/>
              <w:jc w:val="center"/>
            </w:pPr>
            <w:r>
              <w:t xml:space="preserve">177.60</w:t>
            </w:r>
          </w:p>
        </w:tc>
        <w:tc>
          <w:tcPr/>
          <w:p>
            <w:pPr>
              <w:pStyle w:val="Compact"/>
              <w:jc w:val="center"/>
            </w:pPr>
            <w:r>
              <w:t xml:space="preserve">0.72</w:t>
            </w:r>
          </w:p>
        </w:tc>
        <w:tc>
          <w:tcPr/>
          <w:p>
            <w:pPr>
              <w:pStyle w:val="Compact"/>
              <w:jc w:val="left"/>
            </w:pPr>
            <w:r>
              <w:t xml:space="preserve">Deep Near-Null (&lt;1 nT)</w:t>
            </w:r>
          </w:p>
        </w:tc>
        <w:tc>
          <w:tcPr/>
          <w:p>
            <w:pPr>
              <w:pStyle w:val="Compact"/>
              <w:jc w:val="left"/>
            </w:pPr>
            <w:r>
              <w:t xml:space="preserve">CNSA / NASA PDS Grid; Purucker &amp; Nicholas [17]</w:t>
            </w:r>
          </w:p>
        </w:tc>
      </w:tr>
      <w:tr>
        <w:tc>
          <w:tcPr/>
          <w:p>
            <w:pPr>
              <w:pStyle w:val="Compact"/>
              <w:jc w:val="left"/>
            </w:pPr>
            <w:r>
              <w:rPr>
                <w:b/>
                <w:bCs/>
              </w:rPr>
              <w:t xml:space="preserve">Chandrayaan</w:t>
            </w:r>
          </w:p>
        </w:tc>
        <w:tc>
          <w:tcPr/>
          <w:p>
            <w:pPr>
              <w:pStyle w:val="Compact"/>
              <w:jc w:val="left"/>
            </w:pPr>
            <w:r>
              <w:t xml:space="preserve">Chandrayaan-3</w:t>
            </w:r>
          </w:p>
        </w:tc>
        <w:tc>
          <w:tcPr/>
          <w:p>
            <w:pPr>
              <w:pStyle w:val="Compact"/>
              <w:jc w:val="center"/>
            </w:pPr>
            <w:r>
              <w:t xml:space="preserve">-69.37</w:t>
            </w:r>
          </w:p>
        </w:tc>
        <w:tc>
          <w:tcPr/>
          <w:p>
            <w:pPr>
              <w:pStyle w:val="Compact"/>
              <w:jc w:val="center"/>
            </w:pPr>
            <w:r>
              <w:t xml:space="preserve">32.35</w:t>
            </w:r>
          </w:p>
        </w:tc>
        <w:tc>
          <w:tcPr/>
          <w:p>
            <w:pPr>
              <w:pStyle w:val="Compact"/>
              <w:jc w:val="center"/>
            </w:pPr>
            <w:r>
              <w:t xml:space="preserve">0.78</w:t>
            </w:r>
          </w:p>
        </w:tc>
        <w:tc>
          <w:tcPr/>
          <w:p>
            <w:pPr>
              <w:pStyle w:val="Compact"/>
              <w:jc w:val="left"/>
            </w:pPr>
            <w:r>
              <w:t xml:space="preserve">Deep Near-Null (&lt;1 nT)</w:t>
            </w:r>
          </w:p>
        </w:tc>
        <w:tc>
          <w:tcPr/>
          <w:p>
            <w:pPr>
              <w:pStyle w:val="Compact"/>
              <w:jc w:val="left"/>
            </w:pPr>
            <w:r>
              <w:t xml:space="preserve">ISRO / Hood et al. [16]</w:t>
            </w:r>
          </w:p>
        </w:tc>
      </w:tr>
      <w:tr>
        <w:tc>
          <w:tcPr/>
          <w:p>
            <w:pPr>
              <w:pStyle w:val="Compact"/>
              <w:jc w:val="left"/>
            </w:pPr>
            <w:r>
              <w:rPr>
                <w:b/>
                <w:bCs/>
              </w:rPr>
              <w:t xml:space="preserve">Apollo</w:t>
            </w:r>
          </w:p>
        </w:tc>
        <w:tc>
          <w:tcPr/>
          <w:p>
            <w:pPr>
              <w:pStyle w:val="Compact"/>
              <w:jc w:val="left"/>
            </w:pPr>
            <w:r>
              <w:t xml:space="preserve">Apollo 11</w:t>
            </w:r>
          </w:p>
        </w:tc>
        <w:tc>
          <w:tcPr/>
          <w:p>
            <w:pPr>
              <w:pStyle w:val="Compact"/>
              <w:jc w:val="center"/>
            </w:pPr>
            <w:r>
              <w:t xml:space="preserve">0.67</w:t>
            </w:r>
          </w:p>
        </w:tc>
        <w:tc>
          <w:tcPr/>
          <w:p>
            <w:pPr>
              <w:pStyle w:val="Compact"/>
              <w:jc w:val="center"/>
            </w:pPr>
            <w:r>
              <w:t xml:space="preserve">23.47</w:t>
            </w:r>
          </w:p>
        </w:tc>
        <w:tc>
          <w:tcPr/>
          <w:p>
            <w:pPr>
              <w:pStyle w:val="Compact"/>
              <w:jc w:val="center"/>
            </w:pPr>
            <w:r>
              <w:t xml:space="preserve">0.93</w:t>
            </w:r>
          </w:p>
        </w:tc>
        <w:tc>
          <w:tcPr/>
          <w:p>
            <w:pPr>
              <w:pStyle w:val="Compact"/>
              <w:jc w:val="left"/>
            </w:pPr>
            <w:r>
              <w:t xml:space="preserve">Deep Near-Null (&lt;1 nT)</w:t>
            </w:r>
          </w:p>
        </w:tc>
        <w:tc>
          <w:tcPr/>
          <w:p>
            <w:pPr>
              <w:pStyle w:val="Compact"/>
              <w:jc w:val="left"/>
            </w:pPr>
            <w:r>
              <w:t xml:space="preserve">NASA PDS Equatorial Grid; Tsunakawa et al. [18]</w:t>
            </w:r>
          </w:p>
        </w:tc>
      </w:tr>
      <w:tr>
        <w:tc>
          <w:tcPr/>
          <w:p>
            <w:pPr>
              <w:pStyle w:val="Compact"/>
              <w:jc w:val="left"/>
            </w:pPr>
            <w:r>
              <w:rPr>
                <w:b/>
                <w:bCs/>
              </w:rPr>
              <w:t xml:space="preserve">Apollo</w:t>
            </w:r>
          </w:p>
        </w:tc>
        <w:tc>
          <w:tcPr/>
          <w:p>
            <w:pPr>
              <w:pStyle w:val="Compact"/>
              <w:jc w:val="left"/>
            </w:pPr>
            <w:r>
              <w:t xml:space="preserve">Apollo 12</w:t>
            </w:r>
          </w:p>
        </w:tc>
        <w:tc>
          <w:tcPr/>
          <w:p>
            <w:pPr>
              <w:pStyle w:val="Compact"/>
              <w:jc w:val="center"/>
            </w:pPr>
            <w:r>
              <w:t xml:space="preserve">-3.01</w:t>
            </w:r>
          </w:p>
        </w:tc>
        <w:tc>
          <w:tcPr/>
          <w:p>
            <w:pPr>
              <w:pStyle w:val="Compact"/>
              <w:jc w:val="center"/>
            </w:pPr>
            <w:r>
              <w:t xml:space="preserve">336.58</w:t>
            </w:r>
          </w:p>
        </w:tc>
        <w:tc>
          <w:tcPr/>
          <w:p>
            <w:pPr>
              <w:pStyle w:val="Compact"/>
              <w:jc w:val="center"/>
            </w:pPr>
            <w:r>
              <w:t xml:space="preserve">1.00</w:t>
            </w:r>
          </w:p>
        </w:tc>
        <w:tc>
          <w:tcPr/>
          <w:p>
            <w:pPr>
              <w:pStyle w:val="Compact"/>
              <w:jc w:val="left"/>
            </w:pPr>
            <w:r>
              <w:t xml:space="preserve">NNMF Boundary (1.0 nT)</w:t>
            </w:r>
          </w:p>
        </w:tc>
        <w:tc>
          <w:tcPr/>
          <w:p>
            <w:pPr>
              <w:pStyle w:val="Compact"/>
              <w:jc w:val="left"/>
            </w:pPr>
            <w:r>
              <w:t xml:space="preserve">NASA PDS Equatorial Grid; Tsunakawa et al. [18]</w:t>
            </w:r>
          </w:p>
        </w:tc>
      </w:tr>
      <w:tr>
        <w:tc>
          <w:tcPr/>
          <w:p>
            <w:pPr>
              <w:pStyle w:val="Compact"/>
              <w:jc w:val="left"/>
            </w:pPr>
            <w:r>
              <w:rPr>
                <w:b/>
                <w:bCs/>
              </w:rPr>
              <w:t xml:space="preserve">Apollo</w:t>
            </w:r>
          </w:p>
        </w:tc>
        <w:tc>
          <w:tcPr/>
          <w:p>
            <w:pPr>
              <w:pStyle w:val="Compact"/>
              <w:jc w:val="left"/>
            </w:pPr>
            <w:r>
              <w:t xml:space="preserve">Apollo 17</w:t>
            </w:r>
          </w:p>
        </w:tc>
        <w:tc>
          <w:tcPr/>
          <w:p>
            <w:pPr>
              <w:pStyle w:val="Compact"/>
              <w:jc w:val="center"/>
            </w:pPr>
            <w:r>
              <w:t xml:space="preserve">20.19</w:t>
            </w:r>
          </w:p>
        </w:tc>
        <w:tc>
          <w:tcPr/>
          <w:p>
            <w:pPr>
              <w:pStyle w:val="Compact"/>
              <w:jc w:val="center"/>
            </w:pPr>
            <w:r>
              <w:t xml:space="preserve">30.77</w:t>
            </w:r>
          </w:p>
        </w:tc>
        <w:tc>
          <w:tcPr/>
          <w:p>
            <w:pPr>
              <w:pStyle w:val="Compact"/>
              <w:jc w:val="center"/>
            </w:pPr>
            <w:r>
              <w:t xml:space="preserve">1.08</w:t>
            </w:r>
          </w:p>
        </w:tc>
        <w:tc>
          <w:tcPr/>
          <w:p>
            <w:pPr>
              <w:pStyle w:val="Compact"/>
              <w:jc w:val="left"/>
            </w:pPr>
            <w:r>
              <w:t xml:space="preserve">NNMF (1–10 nT)</w:t>
            </w:r>
          </w:p>
        </w:tc>
        <w:tc>
          <w:tcPr/>
          <w:p>
            <w:pPr>
              <w:pStyle w:val="Compact"/>
              <w:jc w:val="left"/>
            </w:pPr>
            <w:r>
              <w:t xml:space="preserve">NASA PDS Equatorial Grid; Tsunakawa et al. [18]</w:t>
            </w:r>
          </w:p>
        </w:tc>
      </w:tr>
      <w:tr>
        <w:tc>
          <w:tcPr/>
          <w:p>
            <w:pPr>
              <w:pStyle w:val="Compact"/>
              <w:jc w:val="left"/>
            </w:pPr>
            <w:r>
              <w:rPr>
                <w:b/>
                <w:bCs/>
              </w:rPr>
              <w:t xml:space="preserve">Apollo</w:t>
            </w:r>
          </w:p>
        </w:tc>
        <w:tc>
          <w:tcPr/>
          <w:p>
            <w:pPr>
              <w:pStyle w:val="Compact"/>
              <w:jc w:val="left"/>
            </w:pPr>
            <w:r>
              <w:t xml:space="preserve">Apollo 16 (Descartes Highlands)</w:t>
            </w:r>
          </w:p>
        </w:tc>
        <w:tc>
          <w:tcPr/>
          <w:p>
            <w:pPr>
              <w:pStyle w:val="Compact"/>
              <w:jc w:val="center"/>
            </w:pPr>
            <w:r>
              <w:t xml:space="preserve">-8.97</w:t>
            </w:r>
          </w:p>
        </w:tc>
        <w:tc>
          <w:tcPr/>
          <w:p>
            <w:pPr>
              <w:pStyle w:val="Compact"/>
              <w:jc w:val="center"/>
            </w:pPr>
            <w:r>
              <w:t xml:space="preserve">15.50</w:t>
            </w:r>
          </w:p>
        </w:tc>
        <w:tc>
          <w:tcPr/>
          <w:p>
            <w:pPr>
              <w:pStyle w:val="Compact"/>
              <w:jc w:val="center"/>
            </w:pPr>
            <w:r>
              <w:t xml:space="preserve">4.94</w:t>
            </w:r>
          </w:p>
        </w:tc>
        <w:tc>
          <w:tcPr/>
          <w:p>
            <w:pPr>
              <w:pStyle w:val="Compact"/>
              <w:jc w:val="left"/>
            </w:pPr>
            <w:r>
              <w:t xml:space="preserve">NNMF Swirl (1–10 nT)</w:t>
            </w:r>
          </w:p>
        </w:tc>
        <w:tc>
          <w:tcPr/>
          <w:p>
            <w:pPr>
              <w:pStyle w:val="Compact"/>
              <w:jc w:val="left"/>
            </w:pPr>
            <w:r>
              <w:t xml:space="preserve">NASA PDS Equatorial Grid; Tsunakawa et al. [18]</w:t>
            </w:r>
          </w:p>
        </w:tc>
      </w:tr>
    </w:tbl>
    <w:bookmarkStart w:id="15" w:name="Xbce62b574ab9a8e6852984eb244f668a284dada"/>
    <w:p>
      <w:pPr>
        <w:pStyle w:val="Heading4"/>
      </w:pPr>
      <w:r>
        <w:t xml:space="preserve">Reproducible Geophysical Provenance &amp; Extraction Methodology</w:t>
      </w:r>
    </w:p>
    <w:p>
      <w:pPr>
        <w:pStyle w:val="FirstParagraph"/>
      </w:pPr>
      <w:r>
        <w:t xml:space="preserve">To ensure complete reproducibility, the crustal magnetic values reported in Table 1 and Figure 1 were extracted from publicly available Level 4 gridded orbital products:</w:t>
      </w:r>
      <w:r>
        <w:t xml:space="preserve"> </w:t>
      </w:r>
      <w:r>
        <w:t xml:space="preserve">1.</w:t>
      </w:r>
      <w:r>
        <w:t xml:space="preserve"> </w:t>
      </w:r>
      <w:r>
        <w:rPr>
          <w:b/>
          <w:bCs/>
        </w:rPr>
        <w:t xml:space="preserve">Lunar Prospector Magnetometer (</w:t>
      </w:r>
      <w:r>
        <w:rPr>
          <w:rStyle w:val="VerbatimChar"/>
          <w:b/>
          <w:bCs/>
        </w:rPr>
        <w:t xml:space="preserve">LP-MAG</w:t>
      </w:r>
      <w:r>
        <w:rPr>
          <w:b/>
          <w:bCs/>
        </w:rPr>
        <w:t xml:space="preserve">):</w:t>
      </w:r>
      <w:r>
        <w:t xml:space="preserve"> </w:t>
      </w:r>
      <w:r>
        <w:t xml:space="preserve">Gridded orbital vector magnetic anomaly time series archived at the NASA Planetary Data System (PDS) Geosciences Node (PDS Product ID:</w:t>
      </w:r>
      <w:r>
        <w:t xml:space="preserve"> </w:t>
      </w:r>
      <w:r>
        <w:rPr>
          <w:rStyle w:val="VerbatimChar"/>
        </w:rPr>
        <w:t xml:space="preserve">LP-L-MAG-4-SUMM-MAPS-V1.0</w:t>
      </w:r>
      <w:r>
        <w:t xml:space="preserve">), calibrated at a standardized 30 km altitude above the mean lunar radius (</w:t>
      </w:r>
      <m:oMath>
        <m:sSub>
          <m:e>
            <m:r>
              <m:t>R</m:t>
            </m:r>
          </m:e>
          <m:sub>
            <m:r>
              <m:t>M</m:t>
            </m:r>
          </m:sub>
        </m:sSub>
        <m:r>
          <m:rPr>
            <m:sty m:val="p"/>
          </m:rPr>
          <m:t>=</m:t>
        </m:r>
        <m:r>
          <m:t>1737.4</m:t>
        </m:r>
        <m:r>
          <m:rPr>
            <m:nor/>
            <m:sty m:val="p"/>
          </m:rPr>
          <m:t> km</m:t>
        </m:r>
      </m:oMath>
      <w:r>
        <w:t xml:space="preserve">) [16,18].</w:t>
      </w:r>
      <w:r>
        <w:t xml:space="preserve"> </w:t>
      </w:r>
      <w:r>
        <w:t xml:space="preserve">2.</w:t>
      </w:r>
      <w:r>
        <w:t xml:space="preserve"> </w:t>
      </w:r>
      <w:r>
        <w:rPr>
          <w:b/>
          <w:bCs/>
        </w:rPr>
        <w:t xml:space="preserve">Kaguya Lunar Magnetometer (</w:t>
      </w:r>
      <w:r>
        <w:rPr>
          <w:rStyle w:val="VerbatimChar"/>
          <w:b/>
          <w:bCs/>
        </w:rPr>
        <w:t xml:space="preserve">LMAG</w:t>
      </w:r>
      <w:r>
        <w:rPr>
          <w:b/>
          <w:bCs/>
        </w:rPr>
        <w:t xml:space="preserve">):</w:t>
      </w:r>
      <w:r>
        <w:t xml:space="preserve"> </w:t>
      </w:r>
      <w:r>
        <w:t xml:space="preserve">Gridded scalar and vector surface magnetic anomaly maps from the SELENE/Kaguya mission archived at the JAXA DARTS portal (Product ID:</w:t>
      </w:r>
      <w:r>
        <w:t xml:space="preserve"> </w:t>
      </w:r>
      <w:r>
        <w:rPr>
          <w:rStyle w:val="VerbatimChar"/>
        </w:rPr>
        <w:t xml:space="preserve">LMAG_MAP_V01</w:t>
      </w:r>
      <w:r>
        <w:t xml:space="preserve">), generated at</w:t>
      </w:r>
      <w:r>
        <w:t xml:space="preserve"> </w:t>
      </w:r>
      <m:oMath>
        <m:sSup>
          <m:e>
            <m:r>
              <m:t>0.5</m:t>
            </m:r>
          </m:e>
          <m:sup>
            <m:r>
              <m:rPr>
                <m:sty m:val="p"/>
              </m:rPr>
              <m:t>∘</m:t>
            </m:r>
          </m:sup>
        </m:sSup>
        <m:r>
          <m:rPr>
            <m:sty m:val="p"/>
          </m:rPr>
          <m:t>×</m:t>
        </m:r>
        <m:sSup>
          <m:e>
            <m:r>
              <m:t>0.5</m:t>
            </m:r>
          </m:e>
          <m:sup>
            <m:r>
              <m:rPr>
                <m:sty m:val="p"/>
              </m:rPr>
              <m:t>∘</m:t>
            </m:r>
          </m:sup>
        </m:sSup>
      </m:oMath>
      <w:r>
        <w:t xml:space="preserve"> </w:t>
      </w:r>
      <w:r>
        <w:t xml:space="preserve">resolution via equivalent source dipole inversions [17].</w:t>
      </w:r>
      <w:r>
        <w:t xml:space="preserve"> </w:t>
      </w:r>
      <w:r>
        <w:t xml:space="preserve">3.</w:t>
      </w:r>
      <w:r>
        <w:t xml:space="preserve"> </w:t>
      </w:r>
      <w:r>
        <w:rPr>
          <w:b/>
          <w:bCs/>
        </w:rPr>
        <w:t xml:space="preserve">Extraction Procedure:</w:t>
      </w:r>
      <w:r>
        <w:t xml:space="preserve"> </w:t>
      </w:r>
      <w:r>
        <w:t xml:space="preserve">Site values were computed using standard bilinear interpolation at published planetocentric coordinates (</w:t>
      </w:r>
      <m:oMath>
        <m:r>
          <m:rPr>
            <m:sty m:val="p"/>
          </m:rPr>
          <m:t>−</m:t>
        </m:r>
        <m:sSup>
          <m:e>
            <m:r>
              <m:t>180</m:t>
            </m:r>
          </m:e>
          <m:sup>
            <m:r>
              <m:rPr>
                <m:sty m:val="p"/>
              </m:rPr>
              <m:t>∘</m:t>
            </m:r>
          </m:sup>
        </m:sSup>
      </m:oMath>
      <w:r>
        <w:t xml:space="preserve"> </w:t>
      </w:r>
      <w:r>
        <w:t xml:space="preserve">to</w:t>
      </w:r>
      <w:r>
        <w:t xml:space="preserve"> </w:t>
      </w:r>
      <m:oMath>
        <m:r>
          <m:rPr>
            <m:sty m:val="p"/>
          </m:rPr>
          <m:t>+</m:t>
        </m:r>
        <m:sSup>
          <m:e>
            <m:r>
              <m:t>180</m:t>
            </m:r>
          </m:e>
          <m:sup>
            <m:r>
              <m:rPr>
                <m:sty m:val="p"/>
              </m:rPr>
              <m:t>∘</m:t>
            </m:r>
          </m:sup>
        </m:sSup>
      </m:oMath>
      <w:r>
        <w:t xml:space="preserve"> </w:t>
      </w:r>
      <w:r>
        <w:t xml:space="preserve">longitude, IAU standard lunar coordinate frame). Cross-model spread between LP-MAG and Kaguya LMAG across the candidate Artemis sites is</w:t>
      </w:r>
      <w:r>
        <w:t xml:space="preserve"> </w:t>
      </w:r>
      <m:oMath>
        <m:r>
          <m:rPr>
            <m:sty m:val="p"/>
          </m:rPr>
          <m:t>±</m:t>
        </m:r>
        <m:r>
          <m:t>0.08</m:t>
        </m:r>
        <m:r>
          <m:rPr>
            <m:nor/>
            <m:sty m:val="p"/>
          </m:rPr>
          <m:t> nT</m:t>
        </m:r>
      </m:oMath>
      <w:r>
        <w:t xml:space="preserve"> </w:t>
      </w:r>
      <w:r>
        <w:t xml:space="preserve">RMS, and the intra-crater spatial variability across 10 km bounding circles is bounded within</w:t>
      </w:r>
      <w:r>
        <w:t xml:space="preserve"> </w:t>
      </w:r>
      <m:oMath>
        <m:r>
          <m:rPr>
            <m:sty m:val="p"/>
          </m:rPr>
          <m:t>±</m:t>
        </m:r>
        <m:r>
          <m:t>0.12</m:t>
        </m:r>
        <m:r>
          <m:rPr>
            <m:nor/>
            <m:sty m:val="p"/>
          </m:rPr>
          <m:t> nT</m:t>
        </m:r>
      </m:oMath>
      <w:r>
        <w:t xml:space="preserve"> </w:t>
      </w:r>
      <w:r>
        <w:t xml:space="preserve">(min–max range:</w:t>
      </w:r>
      <w:r>
        <w:t xml:space="preserve"> </w:t>
      </w:r>
      <m:oMath>
        <m:r>
          <m:t>0.38</m:t>
        </m:r>
        <m:r>
          <m:rPr>
            <m:nor/>
            <m:sty m:val="p"/>
          </m:rPr>
          <m:t> to </m:t>
        </m:r>
        <m:r>
          <m:t>0.94</m:t>
        </m:r>
        <m:r>
          <m:rPr>
            <m:nor/>
            <m:sty m:val="p"/>
          </m:rPr>
          <m:t> nT</m:t>
        </m:r>
      </m:oMath>
      <w:r>
        <w:t xml:space="preserve">).</w:t>
      </w:r>
    </w:p>
    <w:bookmarkEnd w:id="15"/>
    <w:bookmarkStart w:id="16" w:name="X34def1a202dc3ae3f8dc6b258042ab84a903ad0"/>
    <w:p>
      <w:pPr>
        <w:pStyle w:val="Heading4"/>
      </w:pPr>
      <w:r>
        <w:t xml:space="preserve">Distinction Between 30 km Orbital Crustal Proxy and Surface Exposure</w:t>
      </w:r>
    </w:p>
    <w:p>
      <w:pPr>
        <w:pStyle w:val="FirstParagraph"/>
      </w:pPr>
      <w:r>
        <w:t xml:space="preserve">It is vital to emphasize that</w:t>
      </w:r>
      <w:r>
        <w:t xml:space="preserve"> </w:t>
      </w:r>
      <w:r>
        <w:rPr>
          <w:b/>
          <w:bCs/>
        </w:rPr>
        <w:t xml:space="preserve">the values in Table 1 and Figure 1 represent the crustal remanent magnetic component at a 30 km orbital altitude, serving as a relative geophysical ranking proxy rather than an in situ biological exposure claim inside a growth cassette</w:t>
      </w:r>
      <w:r>
        <w:t xml:space="preserve">. The total physical magnetic vector</w:t>
      </w:r>
      <w:r>
        <w:t xml:space="preserve"> </w:t>
      </w:r>
      <m:oMath>
        <m:sSub>
          <m:e>
            <m:r>
              <m:rPr>
                <m:sty m:val="bi"/>
              </m:rPr>
              <m:t>B</m:t>
            </m:r>
          </m:e>
          <m:sub>
            <m:r>
              <m:rPr>
                <m:nor/>
                <m:sty m:val="p"/>
              </m:rPr>
              <m:t>total</m:t>
            </m:r>
          </m:sub>
        </m:sSub>
        <m:r>
          <m:rPr>
            <m:sty m:val="p"/>
          </m:rPr>
          <m:t>(</m:t>
        </m:r>
        <m:r>
          <m:t>t</m:t>
        </m:r>
        <m:r>
          <m:rPr>
            <m:sty m:val="p"/>
          </m:rPr>
          <m:t>,</m:t>
        </m:r>
        <m:r>
          <m:rPr>
            <m:sty m:val="bi"/>
          </m:rPr>
          <m:t>x</m:t>
        </m:r>
        <m:r>
          <m:rPr>
            <m:sty m:val="p"/>
          </m:rPr>
          <m:t>)</m:t>
        </m:r>
      </m:oMath>
      <w:r>
        <w:t xml:space="preserve"> </w:t>
      </w:r>
      <w:r>
        <w:t xml:space="preserve">experienced by a plant canopy on the lunar surface is governed by vector superposition:</w:t>
      </w:r>
    </w:p>
    <w:p>
      <w:pPr>
        <w:pStyle w:val="BodyText"/>
      </w:pPr>
      <m:oMathPara>
        <m:oMathParaPr>
          <m:jc m:val="center"/>
        </m:oMathParaPr>
        <m:oMath>
          <m:sSub>
            <m:e>
              <m:r>
                <m:rPr>
                  <m:sty m:val="bi"/>
                </m:rPr>
                <m:t>B</m:t>
              </m:r>
            </m:e>
            <m:sub>
              <m:r>
                <m:rPr>
                  <m:nor/>
                  <m:sty m:val="p"/>
                </m:rPr>
                <m:t>total</m:t>
              </m:r>
            </m:sub>
          </m:sSub>
          <m:r>
            <m:rPr>
              <m:sty m:val="p"/>
            </m:rPr>
            <m:t>(</m:t>
          </m:r>
          <m:r>
            <m:t>t</m:t>
          </m:r>
          <m:r>
            <m:rPr>
              <m:sty m:val="p"/>
            </m:rPr>
            <m:t>,</m:t>
          </m:r>
          <m:r>
            <m:rPr>
              <m:sty m:val="bi"/>
            </m:rPr>
            <m:t>x</m:t>
          </m:r>
          <m:r>
            <m:rPr>
              <m:sty m:val="p"/>
            </m:rPr>
            <m:t>)</m:t>
          </m:r>
          <m:r>
            <m:rPr>
              <m:sty m:val="p"/>
            </m:rPr>
            <m:t>=</m:t>
          </m:r>
          <m:sSub>
            <m:e>
              <m:r>
                <m:rPr>
                  <m:sty m:val="bi"/>
                </m:rPr>
                <m:t>B</m:t>
              </m:r>
            </m:e>
            <m:sub>
              <m:r>
                <m:rPr>
                  <m:nor/>
                  <m:sty m:val="p"/>
                </m:rPr>
                <m:t>crust</m:t>
              </m:r>
            </m:sub>
          </m:sSub>
          <m:r>
            <m:rPr>
              <m:sty m:val="p"/>
            </m:rPr>
            <m:t>(</m:t>
          </m:r>
          <m:r>
            <m:rPr>
              <m:sty m:val="bi"/>
            </m:rPr>
            <m:t>x</m:t>
          </m:r>
          <m:r>
            <m:rPr>
              <m:sty m:val="p"/>
            </m:rPr>
            <m:t>)</m:t>
          </m:r>
          <m:r>
            <m:rPr>
              <m:sty m:val="p"/>
            </m:rPr>
            <m:t>+</m:t>
          </m:r>
          <m:sSub>
            <m:e>
              <m:r>
                <m:rPr>
                  <m:sty m:val="bi"/>
                </m:rPr>
                <m:t>B</m:t>
              </m:r>
            </m:e>
            <m:sub>
              <m:r>
                <m:rPr>
                  <m:nor/>
                  <m:sty m:val="p"/>
                </m:rPr>
                <m:t>ext</m:t>
              </m:r>
            </m:sub>
          </m:sSub>
          <m:r>
            <m:rPr>
              <m:sty m:val="p"/>
            </m:rPr>
            <m:t>(</m:t>
          </m:r>
          <m:r>
            <m:t>t</m:t>
          </m:r>
          <m:r>
            <m:rPr>
              <m:sty m:val="p"/>
            </m:rPr>
            <m:t>)</m:t>
          </m:r>
          <m:r>
            <m:rPr>
              <m:sty m:val="p"/>
            </m:rPr>
            <m:t>+</m:t>
          </m:r>
          <m:sSub>
            <m:e>
              <m:r>
                <m:rPr>
                  <m:sty m:val="bi"/>
                </m:rPr>
                <m:t>B</m:t>
              </m:r>
            </m:e>
            <m:sub>
              <m:r>
                <m:rPr>
                  <m:nor/>
                  <m:sty m:val="p"/>
                </m:rPr>
                <m:t>lander</m:t>
              </m:r>
            </m:sub>
          </m:sSub>
          <m:r>
            <m:rPr>
              <m:sty m:val="p"/>
            </m:rPr>
            <m:t>(</m:t>
          </m:r>
          <m:r>
            <m:rPr>
              <m:sty m:val="bi"/>
            </m:rPr>
            <m:t>x</m:t>
          </m:r>
          <m:r>
            <m:rPr>
              <m:sty m:val="p"/>
            </m:rPr>
            <m:t>)</m:t>
          </m:r>
          <m:r>
            <m:rPr>
              <m:sty m:val="p"/>
            </m:rPr>
            <m:t>+</m:t>
          </m:r>
          <m:sSub>
            <m:e>
              <m:r>
                <m:rPr>
                  <m:sty m:val="bi"/>
                </m:rPr>
                <m:t>B</m:t>
              </m:r>
            </m:e>
            <m:sub>
              <m:r>
                <m:rPr>
                  <m:nor/>
                  <m:sty m:val="p"/>
                </m:rPr>
                <m:t>payload</m:t>
              </m:r>
            </m:sub>
          </m:sSub>
          <m:r>
            <m:rPr>
              <m:sty m:val="p"/>
            </m:rPr>
            <m:t>(</m:t>
          </m:r>
          <m:r>
            <m:t>t</m:t>
          </m:r>
          <m:r>
            <m:rPr>
              <m:sty m:val="p"/>
            </m:rPr>
            <m:t>,</m:t>
          </m:r>
          <m:r>
            <m:rPr>
              <m:sty m:val="bi"/>
            </m:rPr>
            <m:t>x</m:t>
          </m:r>
          <m:r>
            <m:rPr>
              <m:sty m:val="p"/>
            </m:rPr>
            <m:t>)</m:t>
          </m:r>
          <m:r>
            <m:rPr>
              <m:sty m:val="p"/>
            </m:rPr>
            <m:t>+</m:t>
          </m:r>
          <m:sSub>
            <m:e>
              <m:r>
                <m:rPr>
                  <m:sty m:val="bi"/>
                </m:rPr>
                <m:t>B</m:t>
              </m:r>
            </m:e>
            <m:sub>
              <m:r>
                <m:rPr>
                  <m:nor/>
                  <m:sty m:val="p"/>
                </m:rPr>
                <m:t>control</m:t>
              </m:r>
            </m:sub>
          </m:sSub>
          <m:r>
            <m:rPr>
              <m:sty m:val="p"/>
            </m:rPr>
            <m:t>(</m:t>
          </m:r>
          <m:r>
            <m:t>t</m:t>
          </m:r>
          <m:r>
            <m:rPr>
              <m:sty m:val="p"/>
            </m:rPr>
            <m:t>,</m:t>
          </m:r>
          <m:r>
            <m:rPr>
              <m:sty m:val="bi"/>
            </m:rPr>
            <m:t>x</m:t>
          </m:r>
          <m:r>
            <m:rPr>
              <m:sty m:val="p"/>
            </m:rPr>
            <m:t>)</m:t>
          </m:r>
        </m:oMath>
      </m:oMathPara>
    </w:p>
    <w:p>
      <w:pPr>
        <w:pStyle w:val="FirstParagraph"/>
      </w:pPr>
      <w:r>
        <w:t xml:space="preserve">where:</w:t>
      </w:r>
      <w:r>
        <w:t xml:space="preserve"> </w:t>
      </w:r>
      <w:r>
        <w:t xml:space="preserve">-</w:t>
      </w:r>
      <w:r>
        <w:t xml:space="preserve"> </w:t>
      </w:r>
      <m:oMath>
        <m:sSub>
          <m:e>
            <m:r>
              <m:rPr>
                <m:sty m:val="bi"/>
              </m:rPr>
              <m:t>B</m:t>
            </m:r>
          </m:e>
          <m:sub>
            <m:r>
              <m:rPr>
                <m:nor/>
                <m:sty m:val="p"/>
              </m:rPr>
              <m:t>crust</m:t>
            </m:r>
          </m:sub>
        </m:sSub>
        <m:r>
          <m:rPr>
            <m:sty m:val="p"/>
          </m:rPr>
          <m:t>(</m:t>
        </m:r>
        <m:r>
          <m:rPr>
            <m:sty m:val="bi"/>
          </m:rPr>
          <m:t>x</m:t>
        </m:r>
        <m:r>
          <m:rPr>
            <m:sty m:val="p"/>
          </m:rPr>
          <m:t>)</m:t>
        </m:r>
      </m:oMath>
      <w:r>
        <w:t xml:space="preserve"> </w:t>
      </w:r>
      <w:r>
        <w:t xml:space="preserve">is the local crustal remanence. Because potential fields attenuate with altitude following</w:t>
      </w:r>
      <w:r>
        <w:t xml:space="preserve"> </w:t>
      </w:r>
      <m:oMath>
        <m:r>
          <m:rPr>
            <m:sty m:val="p"/>
          </m:rPr>
          <m:t>(</m:t>
        </m:r>
        <m:r>
          <m:t>R</m:t>
        </m:r>
        <m:r>
          <m:rPr>
            <m:sty m:val="p"/>
          </m:rPr>
          <m:t>/</m:t>
        </m:r>
        <m:r>
          <m:rPr>
            <m:sty m:val="p"/>
          </m:rPr>
          <m:t>(</m:t>
        </m:r>
        <m:r>
          <m:t>R</m:t>
        </m:r>
        <m:r>
          <m:rPr>
            <m:sty m:val="p"/>
          </m:rPr>
          <m:t>+</m:t>
        </m:r>
        <m:r>
          <m:t>h</m:t>
        </m:r>
        <m:r>
          <m:rPr>
            <m:sty m:val="p"/>
          </m:rPr>
          <m:t>)</m:t>
        </m:r>
        <m:sSup>
          <m:e>
            <m:r>
              <m:rPr>
                <m:sty m:val="p"/>
              </m:rPr>
              <m:t>)</m:t>
            </m:r>
          </m:e>
          <m:sup>
            <m:r>
              <m:t>l</m:t>
            </m:r>
            <m:r>
              <m:rPr>
                <m:sty m:val="p"/>
              </m:rPr>
              <m:t>+</m:t>
            </m:r>
            <m:r>
              <m:t>2</m:t>
            </m:r>
          </m:sup>
        </m:sSup>
      </m:oMath>
      <w:r>
        <w:t xml:space="preserve"> </w:t>
      </w:r>
      <w:r>
        <w:t xml:space="preserve">for spherical harmonic degree</w:t>
      </w:r>
      <w:r>
        <w:t xml:space="preserve"> </w:t>
      </w:r>
      <m:oMath>
        <m:r>
          <m:t>l</m:t>
        </m:r>
      </m:oMath>
      <w:r>
        <w:t xml:space="preserve">, downward continuation to the surface enhances high-wavenumber crustal anomalies. However, given that the South Polar crust consists predominantly of weakly magnetized feldspathic anorthosite terranes, conservative potential-field scaling models bound near-surface crustal fields at candidate sites to</w:t>
      </w:r>
      <w:r>
        <w:t xml:space="preserve"> </w:t>
      </w:r>
      <m:oMath>
        <m:r>
          <m:rPr>
            <m:sty m:val="p"/>
          </m:rPr>
          <m:t>≲</m:t>
        </m:r>
        <m:r>
          <m:t>2</m:t>
        </m:r>
        <m:r>
          <m:rPr>
            <m:nor/>
            <m:sty m:val="p"/>
          </m:rPr>
          <m:t>–</m:t>
        </m:r>
        <m:r>
          <m:t>4</m:t>
        </m:r>
        <m:r>
          <m:rPr>
            <m:nor/>
            <m:sty m:val="p"/>
          </m:rPr>
          <m:t> nT</m:t>
        </m:r>
      </m:oMath>
      <w:r>
        <w:t xml:space="preserve"> </w:t>
      </w:r>
      <w:r>
        <w:t xml:space="preserve">[18].</w:t>
      </w:r>
      <w:r>
        <w:t xml:space="preserve"> </w:t>
      </w:r>
      <w:r>
        <w:t xml:space="preserve">-</w:t>
      </w:r>
      <w:r>
        <w:t xml:space="preserve"> </w:t>
      </w:r>
      <m:oMath>
        <m:sSub>
          <m:e>
            <m:r>
              <m:rPr>
                <m:sty m:val="bi"/>
              </m:rPr>
              <m:t>B</m:t>
            </m:r>
          </m:e>
          <m:sub>
            <m:r>
              <m:rPr>
                <m:nor/>
                <m:sty m:val="p"/>
              </m:rPr>
              <m:t>ext</m:t>
            </m:r>
          </m:sub>
        </m:sSub>
        <m:r>
          <m:rPr>
            <m:sty m:val="p"/>
          </m:rPr>
          <m:t>(</m:t>
        </m:r>
        <m:r>
          <m:t>t</m:t>
        </m:r>
        <m:r>
          <m:rPr>
            <m:sty m:val="p"/>
          </m:rPr>
          <m:t>)</m:t>
        </m:r>
      </m:oMath>
      <w:r>
        <w:t xml:space="preserve"> </w:t>
      </w:r>
      <w:r>
        <w:t xml:space="preserve">represents time-varying external fields, primarily the solar wind Interplanetary Magnetic Field (</w:t>
      </w:r>
      <m:oMath>
        <m:r>
          <m:t>1</m:t>
        </m:r>
        <m:r>
          <m:rPr>
            <m:nor/>
            <m:sty m:val="p"/>
          </m:rPr>
          <m:t>–</m:t>
        </m:r>
        <m:r>
          <m:t>5</m:t>
        </m:r>
        <m:r>
          <m:rPr>
            <m:nor/>
            <m:sty m:val="p"/>
          </m:rPr>
          <m:t> nT</m:t>
        </m:r>
      </m:oMath>
      <w:r>
        <w:t xml:space="preserve">) and terrestrial magnetotail lobe passes (</w:t>
      </w:r>
      <m:oMath>
        <m:r>
          <m:rPr>
            <m:sty m:val="p"/>
          </m:rPr>
          <m:t>&lt;</m:t>
        </m:r>
        <m:r>
          <m:t>0.1</m:t>
        </m:r>
        <m:r>
          <m:rPr>
            <m:nor/>
            <m:sty m:val="p"/>
          </m:rPr>
          <m:t>–</m:t>
        </m:r>
        <m:r>
          <m:t>0.5</m:t>
        </m:r>
        <m:r>
          <m:rPr>
            <m:nor/>
            <m:sty m:val="p"/>
          </m:rPr>
          <m:t> nT</m:t>
        </m:r>
      </m:oMath>
      <w:r>
        <w:t xml:space="preserve">) [14,15].</w:t>
      </w:r>
      <w:r>
        <w:t xml:space="preserve"> </w:t>
      </w:r>
      <w:r>
        <w:t xml:space="preserve">-</w:t>
      </w:r>
      <w:r>
        <w:t xml:space="preserve"> </w:t>
      </w:r>
      <m:oMath>
        <m:sSub>
          <m:e>
            <m:r>
              <m:rPr>
                <m:sty m:val="bi"/>
              </m:rPr>
              <m:t>B</m:t>
            </m:r>
          </m:e>
          <m:sub>
            <m:r>
              <m:rPr>
                <m:nor/>
                <m:sty m:val="p"/>
              </m:rPr>
              <m:t>lander</m:t>
            </m:r>
          </m:sub>
        </m:sSub>
        <m:r>
          <m:rPr>
            <m:sty m:val="p"/>
          </m:rPr>
          <m:t>(</m:t>
        </m:r>
        <m:r>
          <m:rPr>
            <m:sty m:val="bi"/>
          </m:rPr>
          <m:t>x</m:t>
        </m:r>
        <m:r>
          <m:rPr>
            <m:sty m:val="p"/>
          </m:rPr>
          <m:t>)</m:t>
        </m:r>
      </m:oMath>
      <w:r>
        <w:t xml:space="preserve"> </w:t>
      </w:r>
      <w:r>
        <w:t xml:space="preserve">is the stray DC field from lander battery buses, structural ferromagnetic frames, and power electronics (</w:t>
      </w:r>
      <m:oMath>
        <m:r>
          <m:t>50</m:t>
        </m:r>
        <m:r>
          <m:rPr>
            <m:nor/>
            <m:sty m:val="p"/>
          </m:rPr>
          <m:t>–</m:t>
        </m:r>
        <m:r>
          <m:t>500</m:t>
        </m:r>
        <m:r>
          <m:t> </m:t>
        </m:r>
        <m:r>
          <m:t>μ</m:t>
        </m:r>
        <m:r>
          <m:rPr>
            <m:nor/>
            <m:sty m:val="p"/>
          </m:rPr>
          <m:t>T</m:t>
        </m:r>
      </m:oMath>
      <w:r>
        <w:t xml:space="preserve">).</w:t>
      </w:r>
      <w:r>
        <w:t xml:space="preserve"> </w:t>
      </w:r>
      <w:r>
        <w:t xml:space="preserve">-</w:t>
      </w:r>
      <w:r>
        <w:t xml:space="preserve"> </w:t>
      </w:r>
      <m:oMath>
        <m:sSub>
          <m:e>
            <m:r>
              <m:rPr>
                <m:sty m:val="bi"/>
              </m:rPr>
              <m:t>B</m:t>
            </m:r>
          </m:e>
          <m:sub>
            <m:r>
              <m:rPr>
                <m:nor/>
                <m:sty m:val="p"/>
              </m:rPr>
              <m:t>payload</m:t>
            </m:r>
          </m:sub>
        </m:sSub>
        <m:r>
          <m:rPr>
            <m:sty m:val="p"/>
          </m:rPr>
          <m:t>(</m:t>
        </m:r>
        <m:r>
          <m:t>t</m:t>
        </m:r>
        <m:r>
          <m:rPr>
            <m:sty m:val="p"/>
          </m:rPr>
          <m:t>,</m:t>
        </m:r>
        <m:r>
          <m:rPr>
            <m:sty m:val="bi"/>
          </m:rPr>
          <m:t>x</m:t>
        </m:r>
        <m:r>
          <m:rPr>
            <m:sty m:val="p"/>
          </m:rPr>
          <m:t>)</m:t>
        </m:r>
      </m:oMath>
      <w:r>
        <w:t xml:space="preserve"> </w:t>
      </w:r>
      <w:r>
        <w:t xml:space="preserve">represents internal payload-induced fields, comprising static DC offsets (</w:t>
      </w:r>
      <m:oMath>
        <m:r>
          <m:t>2</m:t>
        </m:r>
        <m:r>
          <m:rPr>
            <m:nor/>
            <m:sty m:val="p"/>
          </m:rPr>
          <m:t>–</m:t>
        </m:r>
        <m:r>
          <m:t>48</m:t>
        </m:r>
        <m:r>
          <m:t> </m:t>
        </m:r>
        <m:r>
          <m:t>μ</m:t>
        </m:r>
        <m:r>
          <m:rPr>
            <m:nor/>
            <m:sty m:val="p"/>
          </m:rPr>
          <m:t>T</m:t>
        </m:r>
      </m:oMath>
      <w:r>
        <w:t xml:space="preserve">) from LED arrays and heaters, alongside low-frequency AC ripple (</w:t>
      </w:r>
      <m:oMath>
        <m:r>
          <m:t>15</m:t>
        </m:r>
        <m:r>
          <m:rPr>
            <m:nor/>
            <m:sty m:val="p"/>
          </m:rPr>
          <m:t>–</m:t>
        </m:r>
        <m:r>
          <m:t>50</m:t>
        </m:r>
        <m:sSub>
          <m:e>
            <m:r>
              <m:rPr>
                <m:nor/>
                <m:sty m:val="p"/>
              </m:rPr>
              <m:t> nT</m:t>
            </m:r>
          </m:e>
          <m:sub>
            <m:r>
              <m:rPr>
                <m:nor/>
                <m:sty m:val="p"/>
              </m:rPr>
              <m:t>RMS</m:t>
            </m:r>
          </m:sub>
        </m:sSub>
      </m:oMath>
      <w:r>
        <w:t xml:space="preserve"> </w:t>
      </w:r>
      <w:r>
        <w:t xml:space="preserve">at 1 kHz PWM switching frequencies).</w:t>
      </w:r>
      <w:r>
        <w:t xml:space="preserve"> </w:t>
      </w:r>
      <w:r>
        <w:t xml:space="preserve">-</w:t>
      </w:r>
      <w:r>
        <w:t xml:space="preserve"> </w:t>
      </w:r>
      <m:oMath>
        <m:sSub>
          <m:e>
            <m:r>
              <m:rPr>
                <m:sty m:val="bi"/>
              </m:rPr>
              <m:t>B</m:t>
            </m:r>
          </m:e>
          <m:sub>
            <m:r>
              <m:rPr>
                <m:nor/>
                <m:sty m:val="p"/>
              </m:rPr>
              <m:t>control</m:t>
            </m:r>
          </m:sub>
        </m:sSub>
        <m:r>
          <m:rPr>
            <m:sty m:val="p"/>
          </m:rPr>
          <m:t>(</m:t>
        </m:r>
        <m:r>
          <m:t>t</m:t>
        </m:r>
        <m:r>
          <m:rPr>
            <m:sty m:val="p"/>
          </m:rPr>
          <m:t>,</m:t>
        </m:r>
        <m:r>
          <m:rPr>
            <m:sty m:val="bi"/>
          </m:rPr>
          <m:t>x</m:t>
        </m:r>
        <m:r>
          <m:rPr>
            <m:sty m:val="p"/>
          </m:rPr>
          <m:t>)</m:t>
        </m:r>
      </m:oMath>
      <w:r>
        <w:t xml:space="preserve"> </w:t>
      </w:r>
      <w:r>
        <w:t xml:space="preserve">is the intentional vector generated by active compensation coils or Permalloy shielding, if present.</w:t>
      </w:r>
    </w:p>
    <w:bookmarkEnd w:id="16"/>
    <w:bookmarkStart w:id="17" w:name="X4228927c2368d3d84b5b12b558f3461639716c9"/>
    <w:p>
      <w:pPr>
        <w:pStyle w:val="Heading4"/>
      </w:pPr>
      <w:r>
        <w:t xml:space="preserve">Spatial Gradients: Crustal Smoothness vs. Payload Heterogeneity</w:t>
      </w:r>
    </w:p>
    <w:p>
      <w:pPr>
        <w:pStyle w:val="FirstParagraph"/>
      </w:pPr>
      <w:r>
        <w:t xml:space="preserve">A critical insight emerges when comparing spatial magnetic gradients over a</w:t>
      </w:r>
      <w:r>
        <w:t xml:space="preserve"> </w:t>
      </w:r>
      <m:oMath>
        <m:r>
          <m:t>10</m:t>
        </m:r>
        <m:r>
          <m:rPr>
            <m:nor/>
            <m:sty m:val="p"/>
          </m:rPr>
          <m:t> cm</m:t>
        </m:r>
      </m:oMath>
      <w:r>
        <w:t xml:space="preserve"> </w:t>
      </w:r>
      <w:r>
        <w:t xml:space="preserve">seed tray or growth cassette footprint:</w:t>
      </w:r>
      <w:r>
        <w:t xml:space="preserve"> </w:t>
      </w:r>
      <w:r>
        <w:t xml:space="preserve">- Natural crustal fields, derived from deeply buried remanent sources (scale depths</w:t>
      </w:r>
      <w:r>
        <w:t xml:space="preserve"> </w:t>
      </w:r>
      <m:oMath>
        <m:r>
          <m:rPr>
            <m:sty m:val="p"/>
          </m:rPr>
          <m:t>&gt;</m:t>
        </m:r>
        <m:r>
          <m:t>10</m:t>
        </m:r>
        <m:r>
          <m:rPr>
            <m:nor/>
            <m:sty m:val="p"/>
          </m:rPr>
          <m:t> km</m:t>
        </m:r>
      </m:oMath>
      <w:r>
        <w:t xml:space="preserve">), are virtually uniform over biological cassettes:</w:t>
      </w:r>
      <w:r>
        <w:t xml:space="preserve"> </w:t>
      </w:r>
      <m:oMath>
        <m:r>
          <m:rPr>
            <m:sty m:val="p"/>
          </m:rPr>
          <m:t>|</m:t>
        </m:r>
        <m:r>
          <m:rPr>
            <m:sty m:val="p"/>
          </m:rPr>
          <m:t>∇</m:t>
        </m:r>
        <m:sSub>
          <m:e>
            <m:r>
              <m:rPr>
                <m:sty m:val="bi"/>
              </m:rPr>
              <m:t>B</m:t>
            </m:r>
          </m:e>
          <m:sub>
            <m:r>
              <m:rPr>
                <m:nor/>
                <m:sty m:val="p"/>
              </m:rPr>
              <m:t>crust</m:t>
            </m:r>
          </m:sub>
        </m:sSub>
        <m:r>
          <m:rPr>
            <m:sty m:val="p"/>
          </m:rPr>
          <m:t>|</m:t>
        </m:r>
        <m:r>
          <m:rPr>
            <m:sty m:val="p"/>
          </m:rPr>
          <m:t>≪</m:t>
        </m:r>
        <m:sSup>
          <m:e>
            <m:r>
              <m:t>10</m:t>
            </m:r>
          </m:e>
          <m:sup>
            <m:r>
              <m:rPr>
                <m:sty m:val="p"/>
              </m:rPr>
              <m:t>−</m:t>
            </m:r>
            <m:r>
              <m:t>4</m:t>
            </m:r>
          </m:sup>
        </m:sSup>
        <m:r>
          <m:rPr>
            <m:nor/>
            <m:sty m:val="p"/>
          </m:rPr>
          <m:t> nT/cm</m:t>
        </m:r>
      </m:oMath>
      <w:r>
        <w:t xml:space="preserve"> </w:t>
      </w:r>
      <w:r>
        <w:t xml:space="preserve">(</w:t>
      </w:r>
      <m:oMath>
        <m:r>
          <m:rPr>
            <m:sty m:val="p"/>
          </m:rPr>
          <m:t>&lt;</m:t>
        </m:r>
        <m:sSup>
          <m:e>
            <m:r>
              <m:t>10</m:t>
            </m:r>
          </m:e>
          <m:sup>
            <m:r>
              <m:rPr>
                <m:sty m:val="p"/>
              </m:rPr>
              <m:t>−</m:t>
            </m:r>
            <m:r>
              <m:t>5</m:t>
            </m:r>
          </m:sup>
        </m:sSup>
        <m:r>
          <m:rPr>
            <m:nor/>
            <m:sty m:val="p"/>
          </m:rPr>
          <m:t> nT/mm</m:t>
        </m:r>
      </m:oMath>
      <w:r>
        <w:t xml:space="preserve">).</w:t>
      </w:r>
      <w:r>
        <w:t xml:space="preserve"> </w:t>
      </w:r>
      <w:r>
        <w:t xml:space="preserve">- In contrast, unshielded payload electronics, wire traces, and pump coils generate steep local field gradients:</w:t>
      </w:r>
      <w:r>
        <w:t xml:space="preserve"> </w:t>
      </w:r>
      <m:oMath>
        <m:r>
          <m:rPr>
            <m:sty m:val="p"/>
          </m:rPr>
          <m:t>|</m:t>
        </m:r>
        <m:r>
          <m:rPr>
            <m:sty m:val="p"/>
          </m:rPr>
          <m:t>∇</m:t>
        </m:r>
        <m:sSub>
          <m:e>
            <m:r>
              <m:rPr>
                <m:sty m:val="bi"/>
              </m:rPr>
              <m:t>B</m:t>
            </m:r>
          </m:e>
          <m:sub>
            <m:r>
              <m:rPr>
                <m:nor/>
                <m:sty m:val="p"/>
              </m:rPr>
              <m:t>payload</m:t>
            </m:r>
          </m:sub>
        </m:sSub>
        <m:r>
          <m:rPr>
            <m:sty m:val="p"/>
          </m:rPr>
          <m:t>|</m:t>
        </m:r>
        <m:r>
          <m:rPr>
            <m:sty m:val="p"/>
          </m:rPr>
          <m:t>∼</m:t>
        </m:r>
        <m:r>
          <m:t>1</m:t>
        </m:r>
        <m:r>
          <m:rPr>
            <m:nor/>
            <m:sty m:val="p"/>
          </m:rPr>
          <m:t> to </m:t>
        </m:r>
        <m:r>
          <m:t>50</m:t>
        </m:r>
        <m:r>
          <m:rPr>
            <m:nor/>
            <m:sty m:val="p"/>
          </m:rPr>
          <m:t> nT/cm</m:t>
        </m:r>
      </m:oMath>
      <w:r>
        <w:t xml:space="preserve"> </w:t>
      </w:r>
      <w:r>
        <w:t xml:space="preserve">(</w:t>
      </w:r>
      <m:oMath>
        <m:r>
          <m:t>0.1</m:t>
        </m:r>
        <m:r>
          <m:rPr>
            <m:nor/>
            <m:sty m:val="p"/>
          </m:rPr>
          <m:t> to </m:t>
        </m:r>
        <m:r>
          <m:t>5</m:t>
        </m:r>
        <m:r>
          <m:t> </m:t>
        </m:r>
        <m:r>
          <m:t>μ</m:t>
        </m:r>
        <m:r>
          <m:rPr>
            <m:nor/>
            <m:sty m:val="p"/>
          </m:rPr>
          <m:t>T/cm</m:t>
        </m:r>
      </m:oMath>
      <w:r>
        <w:t xml:space="preserve"> </w:t>
      </w:r>
      <w:r>
        <w:t xml:space="preserve">in close proximity to power harnesses).</w:t>
      </w:r>
    </w:p>
    <w:p>
      <w:pPr>
        <w:pStyle w:val="BodyText"/>
      </w:pPr>
      <w:r>
        <w:t xml:space="preserve">Consequently, seedlings across a single</w:t>
      </w:r>
      <w:r>
        <w:t xml:space="preserve"> </w:t>
      </w:r>
      <m:oMath>
        <m:r>
          <m:t>10</m:t>
        </m:r>
        <m:r>
          <m:rPr>
            <m:nor/>
            <m:sty m:val="p"/>
          </m:rPr>
          <m:t> cm</m:t>
        </m:r>
      </m:oMath>
      <w:r>
        <w:t xml:space="preserve"> </w:t>
      </w:r>
      <w:r>
        <w:t xml:space="preserve">tray can experience order-of-magnitude differences in magnetic exposure. This steep spatial gradient provides the core engineering motivation for implementing multi-sensor canopy-level magnetometry rather than relying on distant spacecraft bus telemetry [11,20].</w:t>
      </w:r>
    </w:p>
    <w:p>
      <w:r>
        <w:pict>
          <v:rect style="width:0;height:1.5pt" o:hralign="center" o:hrstd="t" o:hr="t"/>
        </w:pict>
      </w:r>
    </w:p>
    <w:bookmarkEnd w:id="17"/>
    <w:bookmarkEnd w:id="18"/>
    <w:bookmarkEnd w:id="19"/>
    <w:bookmarkStart w:id="26" w:name="Xe19f638724d3b93256b2e1643d719abff9afdfc"/>
    <w:p>
      <w:pPr>
        <w:pStyle w:val="Heading2"/>
      </w:pPr>
      <w:r>
        <w:t xml:space="preserve">2. Integrative Review Methodology, Computational Toolkit, and Evidence Synthesis Framework</w:t>
      </w:r>
    </w:p>
    <w:bookmarkStart w:id="20" w:name="X99de6057de5b589f321e37af54d1d923cf3cff2"/>
    <w:p>
      <w:pPr>
        <w:pStyle w:val="Heading3"/>
      </w:pPr>
      <w:r>
        <w:t xml:space="preserve">2.1 Review Typology, SANRA Alignment, and Core Research Questions</w:t>
      </w:r>
    </w:p>
    <w:p>
      <w:pPr>
        <w:pStyle w:val="FirstParagraph"/>
      </w:pPr>
      <w:r>
        <w:t xml:space="preserve">Following the methodological principles established by Whittemore &amp; Knafl [81], the Scale for the Assessment of Narrative Review Articles (SANRA) guidelines [82], and recent biomedical synthesis precedents [83], this study is structured as an</w:t>
      </w:r>
      <w:r>
        <w:t xml:space="preserve"> </w:t>
      </w:r>
      <w:r>
        <w:rPr>
          <w:b/>
          <w:bCs/>
        </w:rPr>
        <w:t xml:space="preserve">Integrative Review</w:t>
      </w:r>
      <w:r>
        <w:t xml:space="preserve">. Unlike traditional narrative overviews—which lack explicit search architectures—or narrow systematic reviews that restrict synthesis to homogeneous clinical trial cohorts, the integrative review methodology is explicitly built to synthesize evidence across vastly disparate scales: bridging macroscopic planetary geophysics (</w:t>
      </w:r>
      <m:oMath>
        <m:sSup>
          <m:e>
            <m:r>
              <m:t>10</m:t>
            </m:r>
          </m:e>
          <m:sup>
            <m:r>
              <m:t>6</m:t>
            </m:r>
          </m:sup>
        </m:sSup>
        <m:r>
          <m:rPr>
            <m:nor/>
            <m:sty m:val="p"/>
          </m:rPr>
          <m:t> m</m:t>
        </m:r>
      </m:oMath>
      <w:r>
        <w:t xml:space="preserve">) with microscopic seed developmental physiology (</w:t>
      </w:r>
      <m:oMath>
        <m:sSup>
          <m:e>
            <m:r>
              <m:t>10</m:t>
            </m:r>
          </m:e>
          <m:sup>
            <m:r>
              <m:rPr>
                <m:sty m:val="p"/>
              </m:rPr>
              <m:t>−</m:t>
            </m:r>
            <m:r>
              <m:t>3</m:t>
            </m:r>
          </m:sup>
        </m:sSup>
        <m:r>
          <m:rPr>
            <m:nor/>
            <m:sty m:val="p"/>
          </m:rPr>
          <m:t> m</m:t>
        </m:r>
      </m:oMath>
      <w:r>
        <w:t xml:space="preserve">), quantum mechanical radical-pair spin dynamics (</w:t>
      </w:r>
      <m:oMath>
        <m:sSup>
          <m:e>
            <m:r>
              <m:t>10</m:t>
            </m:r>
          </m:e>
          <m:sup>
            <m:r>
              <m:rPr>
                <m:sty m:val="p"/>
              </m:rPr>
              <m:t>−</m:t>
            </m:r>
            <m:r>
              <m:t>10</m:t>
            </m:r>
          </m:sup>
        </m:sSup>
        <m:r>
          <m:rPr>
            <m:nor/>
            <m:sty m:val="p"/>
          </m:rPr>
          <m:t> m</m:t>
        </m:r>
      </m:oMath>
      <w:r>
        <w:t xml:space="preserve">), and operational spaceflight payload engineering (Figure 2a).</w:t>
      </w:r>
    </w:p>
    <w:p>
      <w:pPr>
        <w:pStyle w:val="BodyText"/>
      </w:pPr>
      <w:r>
        <w:t xml:space="preserve">This review addresses four formal research questions (RQs):</w:t>
      </w:r>
      <w:r>
        <w:t xml:space="preserve"> </w:t>
      </w:r>
      <w:r>
        <w:t xml:space="preserve">-</w:t>
      </w:r>
      <w:r>
        <w:t xml:space="preserve"> </w:t>
      </w:r>
      <w:r>
        <w:rPr>
          <w:b/>
          <w:bCs/>
        </w:rPr>
        <w:t xml:space="preserve">RQ1 (Planetary Field &amp; Superposition Baseline):</w:t>
      </w:r>
      <w:r>
        <w:t xml:space="preserve"> </w:t>
      </w:r>
      <w:r>
        <w:rPr>
          <w:i/>
          <w:iCs/>
        </w:rPr>
        <w:t xml:space="preserve">What is the true physical magnetic vector magnitude and spatial structure across candidate Artemis landing regions, and how does vector superposition with lander and payload subsystems alter the biological growth environment?</w:t>
      </w:r>
      <w:r>
        <w:t xml:space="preserve"> </w:t>
      </w:r>
      <w:r>
        <w:t xml:space="preserve">-</w:t>
      </w:r>
      <w:r>
        <w:t xml:space="preserve"> </w:t>
      </w:r>
      <w:r>
        <w:rPr>
          <w:b/>
          <w:bCs/>
        </w:rPr>
        <w:t xml:space="preserve">RQ2 (Early Seedling Developmental Kinetics):</w:t>
      </w:r>
      <w:r>
        <w:t xml:space="preserve"> </w:t>
      </w:r>
      <w:r>
        <w:rPr>
          <w:i/>
          <w:iCs/>
        </w:rPr>
        <w:t xml:space="preserve">What does the empirical space biology and terrestrial analogue literature demonstrate regarding plant germination capacity, emergence velocity (</w:t>
      </w:r>
      <m:oMath>
        <m:sSub>
          <m:e>
            <m:r>
              <m:t>t</m:t>
            </m:r>
          </m:e>
          <m:sub>
            <m:r>
              <m:t>50</m:t>
            </m:r>
          </m:sub>
        </m:sSub>
      </m:oMath>
      <w:r>
        <w:rPr>
          <w:i/>
          <w:iCs/>
        </w:rPr>
        <w:t xml:space="preserve">), early biomass accumulation, and plastid greening during the foundational first five days (0–120 h post-imbibition)?</w:t>
      </w:r>
      <w:r>
        <w:t xml:space="preserve"> </w:t>
      </w:r>
      <w:r>
        <w:t xml:space="preserve">-</w:t>
      </w:r>
      <w:r>
        <w:t xml:space="preserve"> </w:t>
      </w:r>
      <w:r>
        <w:rPr>
          <w:b/>
          <w:bCs/>
        </w:rPr>
        <w:t xml:space="preserve">RQ3 (Quantum &amp; Bioenergetic Mechanisms):</w:t>
      </w:r>
      <w:r>
        <w:t xml:space="preserve"> </w:t>
      </w:r>
      <w:r>
        <w:rPr>
          <w:i/>
          <w:iCs/>
        </w:rPr>
        <w:t xml:space="preserve">What are the primary quantum biological (radical pair spin dynamics in cryptochromes) and bioenergetic (</w:t>
      </w:r>
      <m:oMath>
        <m:sSub>
          <m:e>
            <m:r>
              <m:rPr>
                <m:nor/>
                <m:sty m:val="p"/>
              </m:rPr>
              <m:t>CO</m:t>
            </m:r>
          </m:e>
          <m:sub>
            <m:r>
              <m:t>2</m:t>
            </m:r>
          </m:sub>
        </m:sSub>
        <m:r>
          <m:rPr>
            <m:sty m:val="p"/>
          </m:rPr>
          <m:t>↔</m:t>
        </m:r>
        <m:sSub>
          <m:e>
            <m:r>
              <m:rPr>
                <m:nor/>
                <m:sty m:val="p"/>
              </m:rPr>
              <m:t>O</m:t>
            </m:r>
          </m:e>
          <m:sub>
            <m:r>
              <m:t>2</m:t>
            </m:r>
          </m:sub>
        </m:sSub>
        <m:r>
          <m:rPr>
            <m:sty m:val="p"/>
          </m:rPr>
          <m:t>↔</m:t>
        </m:r>
        <m:r>
          <m:rPr>
            <m:nor/>
            <m:sty m:val="p"/>
          </m:rPr>
          <m:t>ROS</m:t>
        </m:r>
      </m:oMath>
      <w:r>
        <w:rPr>
          <w:i/>
          <w:iCs/>
        </w:rPr>
        <w:t xml:space="preserve"> </w:t>
      </w:r>
      <w:r>
        <w:rPr>
          <w:i/>
          <w:iCs/>
        </w:rPr>
        <w:t xml:space="preserve">mitochondrial/chloroplastic electron transport) mechanisms mediating these observed phenotypic penalties?</w:t>
      </w:r>
      <w:r>
        <w:t xml:space="preserve"> </w:t>
      </w:r>
      <w:r>
        <w:t xml:space="preserve">-</w:t>
      </w:r>
      <w:r>
        <w:t xml:space="preserve"> </w:t>
      </w:r>
      <w:r>
        <w:rPr>
          <w:b/>
          <w:bCs/>
        </w:rPr>
        <w:t xml:space="preserve">RQ4 (Translational Simulation &amp; Flight Risk Retirement):</w:t>
      </w:r>
      <w:r>
        <w:t xml:space="preserve"> </w:t>
      </w:r>
      <w:r>
        <w:rPr>
          <w:i/>
          <w:iCs/>
        </w:rPr>
        <w:t xml:space="preserve">What standardized ground simulation parameters, hardware self-magnetic mapping protocols, and flight instrumentation designs are required to decouple true lunar near-null magnetic effects from spacecraft electromagnetic interference and retire knowledge gaps for Artemis agriculture?</w:t>
      </w:r>
    </w:p>
    <w:bookmarkEnd w:id="20"/>
    <w:bookmarkStart w:id="21" w:name="Xd6ff7ed7da604ccee43cb28fdd63f85109e275e"/>
    <w:p>
      <w:pPr>
        <w:pStyle w:val="Heading3"/>
      </w:pPr>
      <w:r>
        <w:t xml:space="preserve">2.2 Literature Search Strategy, Language Policy, and Audit Workflow</w:t>
      </w:r>
    </w:p>
    <w:p>
      <w:pPr>
        <w:pStyle w:val="FirstParagraph"/>
      </w:pPr>
      <w:r>
        <w:t xml:space="preserve">To capture the full breadth of multi-disciplinary evidence spanning planetary geophysics, plant magnetobiology, and spaceflight bioenergetics, an auditable literature search was executed across six indexed databases and space agency repositories covering publications from 1965 to October 15, 2026: PubMed, Web of Science (WoS), Scopus, Europe PMC, the NASA Open Science Data Repository (OSDR), and the NASA Planetary Data System (PDS) / JAXA SELENE archive (Table 2).</w:t>
      </w:r>
    </w:p>
    <w:p>
      <w:pPr>
        <w:pStyle w:val="BodyText"/>
      </w:pPr>
      <w:r>
        <w:rPr>
          <w:b/>
          <w:bCs/>
        </w:rPr>
        <w:t xml:space="preserve">Table 2 | Database-specific search strategies, Boolean syntax, and retrieval metrics used in this integrative review.</w:t>
      </w:r>
      <w:r>
        <w:t xml:space="preserve"> </w:t>
      </w:r>
      <w:r>
        <w:t xml:space="preserve">Date last searched: October 15, 2026 across all databases. Dual independent screening protocol achieved near-perfect inter-rater concordance (</w:t>
      </w:r>
      <m:oMath>
        <m:r>
          <m:rPr>
            <m:nor/>
            <m:sty m:val="p"/>
          </m:rPr>
          <m:t>Cohen’s </m:t>
        </m:r>
        <m:r>
          <m:t>κ</m:t>
        </m:r>
        <m:r>
          <m:rPr>
            <m:sty m:val="p"/>
          </m:rPr>
          <m:t>=</m:t>
        </m:r>
        <m:r>
          <m:t>0.88</m:t>
        </m:r>
      </m:oMath>
      <w:r>
        <w:t xml:space="preserve">).</w:t>
      </w:r>
    </w:p>
    <w:tbl>
      <w:tblPr>
        <w:tblStyle w:val="Table"/>
        <w:tblW w:type="pct" w:w="5000"/>
        <w:tblLayout w:type="fixed"/>
        <w:tblLook w:firstRow="1" w:lastRow="0" w:firstColumn="0" w:lastColumn="0" w:noHBand="0" w:noVBand="0" w:val="0020"/>
      </w:tblPr>
      <w:tblGrid>
        <w:gridCol w:w="1377"/>
        <w:gridCol w:w="1377"/>
        <w:gridCol w:w="1721"/>
        <w:gridCol w:w="1721"/>
        <w:gridCol w:w="1721"/>
      </w:tblGrid>
      <w:tr>
        <w:trPr>
          <w:tblHeader w:val="on"/>
        </w:trPr>
        <w:tc>
          <w:tcPr/>
          <w:p>
            <w:pPr>
              <w:pStyle w:val="Compact"/>
              <w:jc w:val="left"/>
            </w:pPr>
            <w:r>
              <w:t xml:space="preserve">Database / Repository</w:t>
            </w:r>
          </w:p>
        </w:tc>
        <w:tc>
          <w:tcPr/>
          <w:p>
            <w:pPr>
              <w:pStyle w:val="Compact"/>
              <w:jc w:val="left"/>
            </w:pPr>
            <w:r>
              <w:t xml:space="preserve">Exact Search Syntax &amp; Boolean Operators</w:t>
            </w:r>
          </w:p>
        </w:tc>
        <w:tc>
          <w:tcPr/>
          <w:p>
            <w:pPr>
              <w:pStyle w:val="Compact"/>
              <w:jc w:val="center"/>
            </w:pPr>
            <w:r>
              <w:t xml:space="preserve">Coverage Window</w:t>
            </w:r>
          </w:p>
        </w:tc>
        <w:tc>
          <w:tcPr/>
          <w:p>
            <w:pPr>
              <w:pStyle w:val="Compact"/>
              <w:jc w:val="center"/>
            </w:pPr>
            <w:r>
              <w:t xml:space="preserve">Raw Records Retrieved</w:t>
            </w:r>
          </w:p>
        </w:tc>
        <w:tc>
          <w:tcPr/>
          <w:p>
            <w:pPr>
              <w:pStyle w:val="Compact"/>
              <w:jc w:val="center"/>
            </w:pPr>
            <w:r>
              <w:t xml:space="preserve">Screened Records</w:t>
            </w:r>
          </w:p>
        </w:tc>
      </w:tr>
      <w:tr>
        <w:tc>
          <w:tcPr/>
          <w:p>
            <w:pPr>
              <w:pStyle w:val="Compact"/>
              <w:jc w:val="left"/>
            </w:pPr>
            <w:r>
              <w:rPr>
                <w:b/>
                <w:bCs/>
              </w:rPr>
              <w:t xml:space="preserve">PubMed</w:t>
            </w:r>
          </w:p>
        </w:tc>
        <w:tc>
          <w:tcPr/>
          <w:p>
            <w:pPr>
              <w:pStyle w:val="Compact"/>
              <w:jc w:val="left"/>
            </w:pPr>
            <w:r>
              <w:rPr>
                <w:rStyle w:val="VerbatimChar"/>
              </w:rPr>
              <w:t xml:space="preserve">("near-null magnetic field" OR "hypomagnetic field" OR "zero magnetic field" OR "magnetic shielding") AND ("plant" OR "seedling" OR "germination" OR "Arabidopsis" OR "cryptochrome" OR "radical pair")</w:t>
            </w:r>
          </w:p>
        </w:tc>
        <w:tc>
          <w:tcPr/>
          <w:p>
            <w:pPr>
              <w:pStyle w:val="Compact"/>
              <w:jc w:val="center"/>
            </w:pPr>
            <w:r>
              <w:t xml:space="preserve">1965–2026 (Oct 15)</w:t>
            </w:r>
          </w:p>
        </w:tc>
        <w:tc>
          <w:tcPr/>
          <w:p>
            <w:pPr>
              <w:pStyle w:val="Compact"/>
              <w:jc w:val="center"/>
            </w:pPr>
            <w:r>
              <w:t xml:space="preserve">542</w:t>
            </w:r>
          </w:p>
        </w:tc>
        <w:tc>
          <w:tcPr/>
          <w:p>
            <w:pPr>
              <w:pStyle w:val="Compact"/>
              <w:jc w:val="center"/>
            </w:pPr>
            <w:r>
              <w:t xml:space="preserve">388</w:t>
            </w:r>
          </w:p>
        </w:tc>
      </w:tr>
      <w:tr>
        <w:tc>
          <w:tcPr/>
          <w:p>
            <w:pPr>
              <w:pStyle w:val="Compact"/>
              <w:jc w:val="left"/>
            </w:pPr>
            <w:r>
              <w:rPr>
                <w:b/>
                <w:bCs/>
              </w:rPr>
              <w:t xml:space="preserve">Web of Science</w:t>
            </w:r>
          </w:p>
        </w:tc>
        <w:tc>
          <w:tcPr/>
          <w:p>
            <w:pPr>
              <w:pStyle w:val="Compact"/>
              <w:jc w:val="left"/>
            </w:pPr>
            <w:r>
              <w:rPr>
                <w:rStyle w:val="VerbatimChar"/>
              </w:rPr>
              <w:t xml:space="preserve">TS=(("hypomagnetic" OR "near-null magnetic" OR "lunar magnetic field") AND ("plant growth" OR "seed germination" OR "reactive oxygen species" OR "mitochondria"))</w:t>
            </w:r>
          </w:p>
        </w:tc>
        <w:tc>
          <w:tcPr/>
          <w:p>
            <w:pPr>
              <w:pStyle w:val="Compact"/>
              <w:jc w:val="center"/>
            </w:pPr>
            <w:r>
              <w:t xml:space="preserve">1970–2026 (Oct 15)</w:t>
            </w:r>
          </w:p>
        </w:tc>
        <w:tc>
          <w:tcPr/>
          <w:p>
            <w:pPr>
              <w:pStyle w:val="Compact"/>
              <w:jc w:val="center"/>
            </w:pPr>
            <w:r>
              <w:t xml:space="preserve">418</w:t>
            </w:r>
          </w:p>
        </w:tc>
        <w:tc>
          <w:tcPr/>
          <w:p>
            <w:pPr>
              <w:pStyle w:val="Compact"/>
              <w:jc w:val="center"/>
            </w:pPr>
            <w:r>
              <w:t xml:space="preserve">276</w:t>
            </w:r>
          </w:p>
        </w:tc>
      </w:tr>
      <w:tr>
        <w:tc>
          <w:tcPr/>
          <w:p>
            <w:pPr>
              <w:pStyle w:val="Compact"/>
              <w:jc w:val="left"/>
            </w:pPr>
            <w:r>
              <w:rPr>
                <w:b/>
                <w:bCs/>
              </w:rPr>
              <w:t xml:space="preserve">Scopus &amp; Europe PMC</w:t>
            </w:r>
          </w:p>
        </w:tc>
        <w:tc>
          <w:tcPr/>
          <w:p>
            <w:pPr>
              <w:pStyle w:val="Compact"/>
              <w:jc w:val="left"/>
            </w:pPr>
            <w:r>
              <w:rPr>
                <w:rStyle w:val="VerbatimChar"/>
              </w:rPr>
              <w:t xml:space="preserve">TITLE-ABS-KEY(("lunar surface" OR "crustal magnetic") AND ("biological payload" OR "space agriculture" OR "Artemis"))</w:t>
            </w:r>
          </w:p>
        </w:tc>
        <w:tc>
          <w:tcPr/>
          <w:p>
            <w:pPr>
              <w:pStyle w:val="Compact"/>
              <w:jc w:val="center"/>
            </w:pPr>
            <w:r>
              <w:t xml:space="preserve">1969–2026 (Oct 15)</w:t>
            </w:r>
          </w:p>
        </w:tc>
        <w:tc>
          <w:tcPr/>
          <w:p>
            <w:pPr>
              <w:pStyle w:val="Compact"/>
              <w:jc w:val="center"/>
            </w:pPr>
            <w:r>
              <w:t xml:space="preserve">286</w:t>
            </w:r>
          </w:p>
        </w:tc>
        <w:tc>
          <w:tcPr/>
          <w:p>
            <w:pPr>
              <w:pStyle w:val="Compact"/>
              <w:jc w:val="center"/>
            </w:pPr>
            <w:r>
              <w:t xml:space="preserve">148</w:t>
            </w:r>
          </w:p>
        </w:tc>
      </w:tr>
      <w:tr>
        <w:tc>
          <w:tcPr/>
          <w:p>
            <w:pPr>
              <w:pStyle w:val="Compact"/>
              <w:jc w:val="left"/>
            </w:pPr>
            <w:r>
              <w:rPr>
                <w:b/>
                <w:bCs/>
              </w:rPr>
              <w:t xml:space="preserve">NASA OSDR</w:t>
            </w:r>
          </w:p>
        </w:tc>
        <w:tc>
          <w:tcPr/>
          <w:p>
            <w:pPr>
              <w:pStyle w:val="Compact"/>
              <w:jc w:val="left"/>
            </w:pPr>
            <w:r>
              <w:t xml:space="preserve">Target queries:</w:t>
            </w:r>
            <w:r>
              <w:t xml:space="preserve"> </w:t>
            </w:r>
            <w:r>
              <w:rPr>
                <w:rStyle w:val="VerbatimChar"/>
              </w:rPr>
              <w:t xml:space="preserve">Arabidopsis</w:t>
            </w:r>
            <w:r>
              <w:t xml:space="preserve">,</w:t>
            </w:r>
            <w:r>
              <w:t xml:space="preserve"> </w:t>
            </w:r>
            <w:r>
              <w:rPr>
                <w:rStyle w:val="VerbatimChar"/>
              </w:rPr>
              <w:t xml:space="preserve">seedling</w:t>
            </w:r>
            <w:r>
              <w:t xml:space="preserve">,</w:t>
            </w:r>
            <w:r>
              <w:t xml:space="preserve"> </w:t>
            </w:r>
            <w:r>
              <w:rPr>
                <w:rStyle w:val="VerbatimChar"/>
              </w:rPr>
              <w:t xml:space="preserve">germination</w:t>
            </w:r>
            <w:r>
              <w:t xml:space="preserve">,</w:t>
            </w:r>
            <w:r>
              <w:t xml:space="preserve"> </w:t>
            </w:r>
            <w:r>
              <w:rPr>
                <w:rStyle w:val="VerbatimChar"/>
              </w:rPr>
              <w:t xml:space="preserve">exploration atmosphere</w:t>
            </w:r>
            <w:r>
              <w:t xml:space="preserve">,</w:t>
            </w:r>
            <w:r>
              <w:t xml:space="preserve"> </w:t>
            </w:r>
            <w:r>
              <w:rPr>
                <w:rStyle w:val="VerbatimChar"/>
              </w:rPr>
              <w:t xml:space="preserve">radiation</w:t>
            </w:r>
            <w:r>
              <w:t xml:space="preserve">,</w:t>
            </w:r>
            <w:r>
              <w:t xml:space="preserve"> </w:t>
            </w:r>
            <w:r>
              <w:rPr>
                <w:rStyle w:val="VerbatimChar"/>
              </w:rPr>
              <w:t xml:space="preserve">microgravity</w:t>
            </w:r>
          </w:p>
        </w:tc>
        <w:tc>
          <w:tcPr/>
          <w:p>
            <w:pPr>
              <w:pStyle w:val="Compact"/>
              <w:jc w:val="center"/>
            </w:pPr>
            <w:r>
              <w:t xml:space="preserve">2000–2026 (Oct 15)</w:t>
            </w:r>
          </w:p>
        </w:tc>
        <w:tc>
          <w:tcPr/>
          <w:p>
            <w:pPr>
              <w:pStyle w:val="Compact"/>
              <w:jc w:val="center"/>
            </w:pPr>
            <w:r>
              <w:t xml:space="preserve">182</w:t>
            </w:r>
          </w:p>
        </w:tc>
        <w:tc>
          <w:tcPr/>
          <w:p>
            <w:pPr>
              <w:pStyle w:val="Compact"/>
              <w:jc w:val="center"/>
            </w:pPr>
            <w:r>
              <w:t xml:space="preserve">104</w:t>
            </w:r>
          </w:p>
        </w:tc>
      </w:tr>
      <w:tr>
        <w:tc>
          <w:tcPr/>
          <w:p>
            <w:pPr>
              <w:pStyle w:val="Compact"/>
              <w:jc w:val="left"/>
            </w:pPr>
            <w:r>
              <w:rPr>
                <w:b/>
                <w:bCs/>
              </w:rPr>
              <w:t xml:space="preserve">NASA PDS / SELENE</w:t>
            </w:r>
          </w:p>
        </w:tc>
        <w:tc>
          <w:tcPr/>
          <w:p>
            <w:pPr>
              <w:pStyle w:val="Compact"/>
              <w:jc w:val="left"/>
            </w:pPr>
            <w:r>
              <w:t xml:space="preserve">Orbital vector magnetometer records (</w:t>
            </w:r>
            <w:r>
              <w:rPr>
                <w:rStyle w:val="VerbatimChar"/>
              </w:rPr>
              <w:t xml:space="preserve">LP-MAG</w:t>
            </w:r>
            <w:r>
              <w:t xml:space="preserve">,</w:t>
            </w:r>
            <w:r>
              <w:t xml:space="preserve"> </w:t>
            </w:r>
            <w:r>
              <w:rPr>
                <w:rStyle w:val="VerbatimChar"/>
              </w:rPr>
              <w:t xml:space="preserve">Kaguya LMAG</w:t>
            </w:r>
            <w:r>
              <w:t xml:space="preserve">,</w:t>
            </w:r>
            <w:r>
              <w:t xml:space="preserve"> </w:t>
            </w:r>
            <w:r>
              <w:rPr>
                <w:rStyle w:val="VerbatimChar"/>
              </w:rPr>
              <w:t xml:space="preserve">Apollo 12/14/15/16 surface magnetometers</w:t>
            </w:r>
            <w:r>
              <w:t xml:space="preserve">)</w:t>
            </w:r>
          </w:p>
        </w:tc>
        <w:tc>
          <w:tcPr/>
          <w:p>
            <w:pPr>
              <w:pStyle w:val="Compact"/>
              <w:jc w:val="center"/>
            </w:pPr>
            <w:r>
              <w:t xml:space="preserve">1969–2026 (Oct 15)</w:t>
            </w:r>
          </w:p>
        </w:tc>
        <w:tc>
          <w:tcPr/>
          <w:p>
            <w:pPr>
              <w:pStyle w:val="Compact"/>
              <w:jc w:val="center"/>
            </w:pPr>
            <w:r>
              <w:t xml:space="preserve">N/A (Orbital Grids)</w:t>
            </w:r>
          </w:p>
        </w:tc>
        <w:tc>
          <w:tcPr/>
          <w:p>
            <w:pPr>
              <w:pStyle w:val="Compact"/>
              <w:jc w:val="center"/>
            </w:pPr>
            <w:r>
              <w:t xml:space="preserve">23 Candidate Sites</w:t>
            </w:r>
          </w:p>
        </w:tc>
      </w:tr>
      <w:tr>
        <w:tc>
          <w:tcPr/>
          <w:p>
            <w:pPr>
              <w:pStyle w:val="Compact"/>
              <w:jc w:val="left"/>
            </w:pPr>
            <w:r>
              <w:rPr>
                <w:b/>
                <w:bCs/>
              </w:rPr>
              <w:t xml:space="preserve">Total Corpus</w:t>
            </w:r>
          </w:p>
        </w:tc>
        <w:tc>
          <w:tcPr/>
          <w:p>
            <w:pPr>
              <w:pStyle w:val="Compact"/>
              <w:jc w:val="left"/>
            </w:pPr>
            <w:r>
              <w:rPr>
                <w:b/>
                <w:bCs/>
              </w:rPr>
              <w:t xml:space="preserve">Cross-database search across 6 major indexed platforms</w:t>
            </w:r>
          </w:p>
        </w:tc>
        <w:tc>
          <w:tcPr/>
          <w:p>
            <w:pPr>
              <w:pStyle w:val="Compact"/>
              <w:jc w:val="center"/>
            </w:pPr>
            <w:r>
              <w:rPr>
                <w:b/>
                <w:bCs/>
              </w:rPr>
              <w:t xml:space="preserve">1965–2026</w:t>
            </w:r>
          </w:p>
        </w:tc>
        <w:tc>
          <w:tcPr/>
          <w:p>
            <w:pPr>
              <w:pStyle w:val="Compact"/>
              <w:jc w:val="center"/>
            </w:pPr>
            <w:r>
              <w:rPr>
                <w:b/>
                <w:bCs/>
              </w:rPr>
              <w:t xml:space="preserve">1,428 records</w:t>
            </w:r>
          </w:p>
        </w:tc>
        <w:tc>
          <w:tcPr/>
          <w:p>
            <w:pPr>
              <w:pStyle w:val="Compact"/>
              <w:jc w:val="center"/>
            </w:pPr>
            <w:r>
              <w:rPr>
                <w:b/>
                <w:bCs/>
              </w:rPr>
              <w:t xml:space="preserve">916 records</w:t>
            </w:r>
          </w:p>
        </w:tc>
      </w:tr>
    </w:tbl>
    <w:p>
      <w:pPr>
        <w:pStyle w:val="Compact"/>
        <w:numPr>
          <w:ilvl w:val="0"/>
          <w:numId w:val="1002"/>
        </w:numPr>
      </w:pPr>
      <w:r>
        <w:rPr>
          <w:b/>
          <w:bCs/>
        </w:rPr>
        <w:t xml:space="preserve">Language Policy:</w:t>
      </w:r>
      <w:r>
        <w:t xml:space="preserve"> </w:t>
      </w:r>
      <w:r>
        <w:t xml:space="preserve">Database searches were executed in English. Relevant non-English literature—specifically foundational historical Russian space biology publications (e.g., Institute of Biomedical Problems [IBMP], Belyavskaya et al. [26,38]) and Chinese hypomagnetic studies—were included when indexed with English abstracts, accessible via authoritative translated volumes, or verified via direct technical translation.</w:t>
      </w:r>
    </w:p>
    <w:p>
      <w:pPr>
        <w:pStyle w:val="Compact"/>
        <w:numPr>
          <w:ilvl w:val="0"/>
          <w:numId w:val="1002"/>
        </w:numPr>
      </w:pPr>
      <w:r>
        <w:rPr>
          <w:b/>
          <w:bCs/>
        </w:rPr>
        <w:t xml:space="preserve">Screening Workflow &amp; Inter-Rater Concordance:</w:t>
      </w:r>
      <w:r>
        <w:t xml:space="preserve"> </w:t>
      </w:r>
      <w:r>
        <w:t xml:space="preserve">Records were independently screened at the title/abstract stage by two primary reviewers (R.J.B. and A.S.). Discrepancies were resolved through structured consensus adjudication with senior author D.M.P. Inter-rater agreement evaluated across 916 deduplicated records yielded a Cohen’s kappa coefficient of</w:t>
      </w:r>
      <w:r>
        <w:t xml:space="preserve"> </w:t>
      </w:r>
      <m:oMath>
        <m:r>
          <m:t>κ</m:t>
        </m:r>
        <m:r>
          <m:rPr>
            <m:sty m:val="p"/>
          </m:rPr>
          <m:t>=</m:t>
        </m:r>
        <m:r>
          <m:t>0.88</m:t>
        </m:r>
      </m:oMath>
      <w:r>
        <w:t xml:space="preserve">, denoting near-perfect screening concordance under PRISMA guidelines.</w:t>
      </w:r>
    </w:p>
    <w:bookmarkEnd w:id="21"/>
    <w:bookmarkStart w:id="25" w:name="X7c4b305b77349d1666fd914b9262847e9cd2ea0"/>
    <w:p>
      <w:pPr>
        <w:pStyle w:val="Heading3"/>
      </w:pPr>
      <w:r>
        <w:t xml:space="preserve">2.3 Study Selection, Eligibility, and Exposure Stratification</w:t>
      </w:r>
    </w:p>
    <w:p>
      <w:pPr>
        <w:pStyle w:val="FirstParagraph"/>
      </w:pPr>
      <w:r>
        <w:t xml:space="preserve">Records identified through database searches (</w:t>
      </w:r>
      <m:oMath>
        <m:r>
          <m:t>n</m:t>
        </m:r>
        <m:r>
          <m:rPr>
            <m:sty m:val="p"/>
          </m:rPr>
          <m:t>=</m:t>
        </m:r>
        <m:r>
          <m:t>1</m:t>
        </m:r>
        <m:r>
          <m:rPr>
            <m:sty m:val="p"/>
          </m:rPr>
          <m:t>,</m:t>
        </m:r>
        <m:r>
          <m:t>428</m:t>
        </m:r>
      </m:oMath>
      <w:r>
        <w:t xml:space="preserve"> </w:t>
      </w:r>
      <w:r>
        <w:t xml:space="preserve">records plus</w:t>
      </w:r>
      <w:r>
        <w:t xml:space="preserve"> </w:t>
      </w:r>
      <m:oMath>
        <m:r>
          <m:t>n</m:t>
        </m:r>
        <m:r>
          <m:rPr>
            <m:sty m:val="p"/>
          </m:rPr>
          <m:t>=</m:t>
        </m:r>
        <m:r>
          <m:t>6</m:t>
        </m:r>
      </m:oMath>
      <w:r>
        <w:t xml:space="preserve"> </w:t>
      </w:r>
      <w:r>
        <w:t xml:space="preserve">primary multi-omics/orbital datasets) were compiled and deduplicated, yielding 916 unique records for screening (Figure 2b).</w:t>
      </w:r>
    </w:p>
    <w:p>
      <w:pPr>
        <w:pStyle w:val="Compact"/>
        <w:numPr>
          <w:ilvl w:val="0"/>
          <w:numId w:val="1003"/>
        </w:numPr>
      </w:pPr>
      <w:r>
        <w:rPr>
          <w:b/>
          <w:bCs/>
        </w:rPr>
        <w:t xml:space="preserve">Inclusion Criteria:</w:t>
      </w:r>
      <w:r>
        <w:t xml:space="preserve"> </w:t>
      </w:r>
      <w:r>
        <w:t xml:space="preserve">Studies were included if they: (a) reported biological responses to measured near-null or hypomagnetic field conditions (</w:t>
      </w:r>
      <m:oMath>
        <m:r>
          <m:rPr>
            <m:sty m:val="p"/>
          </m:rPr>
          <m:t>|</m:t>
        </m:r>
        <m:r>
          <m:rPr>
            <m:sty m:val="bi"/>
          </m:rPr>
          <m:t>B</m:t>
        </m:r>
        <m:r>
          <m:rPr>
            <m:sty m:val="p"/>
          </m:rPr>
          <m:t>|</m:t>
        </m:r>
        <m:r>
          <m:rPr>
            <m:sty m:val="p"/>
          </m:rPr>
          <m:t>&lt;</m:t>
        </m:r>
        <m:r>
          <m:t>5</m:t>
        </m:r>
        <m:r>
          <m:t> </m:t>
        </m:r>
        <m:r>
          <m:t>μ</m:t>
        </m:r>
        <m:r>
          <m:rPr>
            <m:nor/>
            <m:sty m:val="p"/>
          </m:rPr>
          <m:t>T</m:t>
        </m:r>
      </m:oMath>
      <w:r>
        <w:t xml:space="preserve">); (b) focused on early vegetative seedling establishment, germination kinetics, cellular division, pigment accumulation, or organellar bioenergetics (Days 0–5 post-imbibition); (c) provided empirical multi-omics, biophysical, or calibrated orbital vector magnetic datasets; and (d) were published in peer-reviewed scientific journals or authoritative space agency technical repositories.</w:t>
      </w:r>
    </w:p>
    <w:p>
      <w:pPr>
        <w:pStyle w:val="Compact"/>
        <w:numPr>
          <w:ilvl w:val="0"/>
          <w:numId w:val="1003"/>
        </w:numPr>
      </w:pPr>
      <w:r>
        <w:rPr>
          <w:b/>
          <w:bCs/>
        </w:rPr>
        <w:t xml:space="preserve">Exclusion Criteria:</w:t>
      </w:r>
      <w:r>
        <w:t xml:space="preserve"> </w:t>
      </w:r>
      <w:r>
        <w:t xml:space="preserve">Studies were excluded if they: (a) evaluated static high-intensity magnetic fields (</w:t>
      </w:r>
      <m:oMath>
        <m:r>
          <m:rPr>
            <m:sty m:val="p"/>
          </m:rPr>
          <m:t>|</m:t>
        </m:r>
        <m:r>
          <m:rPr>
            <m:sty m:val="bi"/>
          </m:rPr>
          <m:t>B</m:t>
        </m:r>
        <m:r>
          <m:rPr>
            <m:sty m:val="p"/>
          </m:rPr>
          <m:t>|</m:t>
        </m:r>
        <m:r>
          <m:rPr>
            <m:sty m:val="p"/>
          </m:rPr>
          <m:t>&gt;</m:t>
        </m:r>
        <m:r>
          <m:t>1</m:t>
        </m:r>
        <m:r>
          <m:rPr>
            <m:nor/>
            <m:sty m:val="p"/>
          </m:rPr>
          <m:t> mT</m:t>
        </m:r>
      </m:oMath>
      <w:r>
        <w:t xml:space="preserve">, e.g., MRI exposures) unrepresentative of space environments; (b) focused exclusively on post-Day 14 whole-life-cycle agronomic endpoints (flowering, silique filling) lacking early developmental kinetics; (c) utilized animal or clinical models lacking shared eukaryotic bioenergetic or radical-pair homology; or (d) lacked magnetic shielding quantification or ambient geomagnetic field controls.</w:t>
      </w:r>
    </w:p>
    <w:p>
      <w:pPr>
        <w:pStyle w:val="Compact"/>
        <w:numPr>
          <w:ilvl w:val="0"/>
          <w:numId w:val="1003"/>
        </w:numPr>
      </w:pPr>
      <w:r>
        <w:rPr>
          <w:b/>
          <w:bCs/>
        </w:rPr>
        <w:t xml:space="preserve">Stratification by Exposure Regime:</w:t>
      </w:r>
      <w:r>
        <w:t xml:space="preserve"> </w:t>
      </w:r>
      <w:r>
        <w:t xml:space="preserve">To avoid confounding deep lunar void physics (</w:t>
      </w:r>
      <m:oMath>
        <m:r>
          <m:rPr>
            <m:sty m:val="p"/>
          </m:rPr>
          <m:t>&lt;</m:t>
        </m:r>
        <m:r>
          <m:t>1</m:t>
        </m:r>
        <m:r>
          <m:rPr>
            <m:nor/>
            <m:sty m:val="p"/>
          </m:rPr>
          <m:t> nT</m:t>
        </m:r>
      </m:oMath>
      <w:r>
        <w:t xml:space="preserve">) with moderate shielding artifacts, evidence was stratified into two distinct experimental sub-regimes: (i) Deep Near-Null / Sub-Microtesla studies (</w:t>
      </w:r>
      <m:oMath>
        <m:r>
          <m:rPr>
            <m:sty m:val="p"/>
          </m:rPr>
          <m:t>|</m:t>
        </m:r>
        <m:r>
          <m:rPr>
            <m:sty m:val="bi"/>
          </m:rPr>
          <m:t>B</m:t>
        </m:r>
        <m:r>
          <m:rPr>
            <m:sty m:val="p"/>
          </m:rPr>
          <m:t>|</m:t>
        </m:r>
        <m:r>
          <m:rPr>
            <m:sty m:val="p"/>
          </m:rPr>
          <m:t>&lt;</m:t>
        </m:r>
        <m:r>
          <m:t>100</m:t>
        </m:r>
        <m:r>
          <m:rPr>
            <m:nor/>
            <m:sty m:val="p"/>
          </m:rPr>
          <m:t> nT</m:t>
        </m:r>
      </m:oMath>
      <w:r>
        <w:t xml:space="preserve">, capturing</w:t>
      </w:r>
      <w:r>
        <w:t xml:space="preserve"> </w:t>
      </w:r>
      <m:oMath>
        <m:r>
          <m:rPr>
            <m:sty m:val="p"/>
          </m:rPr>
          <m:t>&gt;</m:t>
        </m:r>
        <m:r>
          <m:t>99.8</m:t>
        </m:r>
        <m:r>
          <m:rPr>
            <m:sty m:val="p"/>
          </m:rPr>
          <m:t>%</m:t>
        </m:r>
      </m:oMath>
      <w:r>
        <w:t xml:space="preserve"> </w:t>
      </w:r>
      <w:r>
        <w:t xml:space="preserve">GMF reduction), and (ii) Moderate Hypomagnetic studies (</w:t>
      </w:r>
      <m:oMath>
        <m:r>
          <m:t>0.1</m:t>
        </m:r>
        <m:r>
          <m:t> </m:t>
        </m:r>
        <m:r>
          <m:t>μ</m:t>
        </m:r>
        <m:r>
          <m:rPr>
            <m:nor/>
            <m:sty m:val="p"/>
          </m:rPr>
          <m:t>T</m:t>
        </m:r>
        <m:r>
          <m:rPr>
            <m:sty m:val="p"/>
          </m:rPr>
          <m:t>≤</m:t>
        </m:r>
        <m:r>
          <m:rPr>
            <m:sty m:val="p"/>
          </m:rPr>
          <m:t>|</m:t>
        </m:r>
        <m:r>
          <m:rPr>
            <m:sty m:val="bi"/>
          </m:rPr>
          <m:t>B</m:t>
        </m:r>
        <m:r>
          <m:rPr>
            <m:sty m:val="p"/>
          </m:rPr>
          <m:t>|</m:t>
        </m:r>
        <m:r>
          <m:rPr>
            <m:sty m:val="p"/>
          </m:rPr>
          <m:t>≤</m:t>
        </m:r>
        <m:r>
          <m:t>5</m:t>
        </m:r>
        <m:r>
          <m:t> </m:t>
        </m:r>
        <m:r>
          <m:t>μ</m:t>
        </m:r>
        <m:r>
          <m:rPr>
            <m:nor/>
            <m:sty m:val="p"/>
          </m:rPr>
          <m:t>T</m:t>
        </m:r>
      </m:oMath>
      <w:r>
        <w:t xml:space="preserve">). Studies were further cataloged based on whether magnetic field vectors were logged directly at the specimen seed plane or inferred from uncalibrated chamber centers.</w:t>
      </w:r>
    </w:p>
    <w:p>
      <w:pPr>
        <w:pStyle w:val="FirstParagraph"/>
      </w:pPr>
      <w:r>
        <w:t xml:space="preserve">Following full-text eligibility assessment (</w:t>
      </w:r>
      <m:oMath>
        <m:r>
          <m:t>n</m:t>
        </m:r>
        <m:r>
          <m:rPr>
            <m:sty m:val="p"/>
          </m:rPr>
          <m:t>=</m:t>
        </m:r>
        <m:r>
          <m:t>215</m:t>
        </m:r>
      </m:oMath>
      <w:r>
        <w:t xml:space="preserve"> </w:t>
      </w:r>
      <w:r>
        <w:t xml:space="preserve">articles evaluated), 135 articles were excluded due to missing magnetic field logs, uncontrolled DC current artifacts, or unshielded controls. The final synthesized corpus comprises</w:t>
      </w:r>
      <w:r>
        <w:t xml:space="preserve"> </w:t>
      </w:r>
      <w:r>
        <w:rPr>
          <w:b/>
          <w:bCs/>
        </w:rPr>
        <w:t xml:space="preserve">80 audited peer-reviewed publications</w:t>
      </w:r>
      <w:r>
        <w:t xml:space="preserve"> </w:t>
      </w:r>
      <w:r>
        <w:t xml:space="preserve">(Supplemental Table S1) and</w:t>
      </w:r>
      <w:r>
        <w:t xml:space="preserve"> </w:t>
      </w:r>
      <w:r>
        <w:rPr>
          <w:b/>
          <w:bCs/>
        </w:rPr>
        <w:t xml:space="preserve">6 primary multi-omics and planetary datasets</w:t>
      </w:r>
      <w:r>
        <w:t xml:space="preserve"> </w:t>
      </w:r>
      <w:r>
        <w:t xml:space="preserve">(Supplemental Table S2) integrated across scales (Figure 2b).</w:t>
      </w:r>
    </w:p>
    <w:p>
      <w:pPr>
        <w:pStyle w:val="BodyText"/>
      </w:pPr>
      <w:r>
        <w:drawing>
          <wp:inline>
            <wp:extent cx="5334000" cy="4009868"/>
            <wp:effectExtent b="0" l="0" r="0" t="0"/>
            <wp:docPr descr="Figure 2" title="" id="23" name="Picture"/>
            <a:graphic>
              <a:graphicData uri="http://schemas.openxmlformats.org/drawingml/2006/picture">
                <pic:pic>
                  <pic:nvPicPr>
                    <pic:cNvPr descr="/Users/drb_laptop/Documents/NMF_review/figures/Fig2_integrative_methods_framework.png" id="24" name="Picture"/>
                    <pic:cNvPicPr>
                      <a:picLocks noChangeArrowheads="1" noChangeAspect="1"/>
                    </pic:cNvPicPr>
                  </pic:nvPicPr>
                  <pic:blipFill>
                    <a:blip r:embed="rId22"/>
                    <a:stretch>
                      <a:fillRect/>
                    </a:stretch>
                  </pic:blipFill>
                  <pic:spPr bwMode="auto">
                    <a:xfrm>
                      <a:off x="0" y="0"/>
                      <a:ext cx="5334000" cy="4009868"/>
                    </a:xfrm>
                    <a:prstGeom prst="rect">
                      <a:avLst/>
                    </a:prstGeom>
                    <a:noFill/>
                    <a:ln w="9525">
                      <a:noFill/>
                      <a:headEnd/>
                      <a:tailEnd/>
                    </a:ln>
                  </pic:spPr>
                </pic:pic>
              </a:graphicData>
            </a:graphic>
          </wp:inline>
        </w:drawing>
      </w:r>
      <w:r>
        <w:t xml:space="preserve"> </w:t>
      </w:r>
      <w:r>
        <w:rPr>
          <w:b/>
          <w:bCs/>
        </w:rPr>
        <w:t xml:space="preserve">Figure 2 | Integrative review conceptual framework and evidence selection flow.</w:t>
      </w:r>
      <w:r>
        <w:br/>
      </w:r>
      <w:r>
        <w:rPr>
          <w:b/>
          <w:bCs/>
        </w:rPr>
        <w:t xml:space="preserve">(a) Conceptual Framework of the Integrative Review:</w:t>
      </w:r>
      <w:r>
        <w:t xml:space="preserve"> </w:t>
      </w:r>
      <w:r>
        <w:t xml:space="preserve">Progression from four formal research questions (RQ1–RQ4) through multi-disciplinary data sources (planetary geophysics, plant space biology, quantum biophysics, astronaut multi-omics), rigorous selection and scoping criteria, and multi-scale thematic synthesis across five core scientific domains (D1–D5).</w:t>
      </w:r>
      <w:r>
        <w:br/>
      </w:r>
      <w:r>
        <w:rPr>
          <w:b/>
          <w:bCs/>
        </w:rPr>
        <w:t xml:space="preserve">(b) Evidence Identification and Selection Flow Diagram (PRISMA/SANRA-compliant):</w:t>
      </w:r>
      <w:r>
        <w:t xml:space="preserve"> </w:t>
      </w:r>
      <w:r>
        <w:t xml:space="preserve">Systematic screening and deduplication from 1,428 database records (PubMed, Web of Science, Scopus/Europe PMC, NASA OSDR) and 6 primary spaceflight/planetary repositories down to the 80 audited peer-reviewed publications (Supplemental Table S1) and 6 public datasets (Supplemental Table S2) synthesized across scales. All calculations and non-linear kinetics fits were executed via the open-source package dr-richard-barker/NMF_review.</w:t>
      </w:r>
    </w:p>
    <w:p>
      <w:r>
        <w:pict>
          <v:rect style="width:0;height:1.5pt" o:hralign="center" o:hrstd="t" o:hr="t"/>
        </w:pict>
      </w:r>
    </w:p>
    <w:bookmarkEnd w:id="25"/>
    <w:bookmarkEnd w:id="26"/>
    <w:bookmarkStart w:id="33" w:name="X91dcc69f4ee66fdadbfb89532eed46c4adf9c01"/>
    <w:p>
      <w:pPr>
        <w:pStyle w:val="Heading2"/>
      </w:pPr>
      <w:r>
        <w:t xml:space="preserve">3. The First Five Days of Growth: Early Seedling Establishment as the Critical Bottleneck for Lunar Agriculture</w:t>
      </w:r>
    </w:p>
    <w:p>
      <w:pPr>
        <w:pStyle w:val="FirstParagraph"/>
      </w:pPr>
      <w:r>
        <w:t xml:space="preserve">Previous reviews of plant magnetobiology have collated disparate phenotypes across entire life cycles, spanning floral transition, silique maturation, and seed setting [10,12,21]. While scientifically intriguing, whole-life-cycle analyses diffuse focus away from the operational realities of initial lunar missions. Surface payloads are constrained by mission operational lifetimes (typically 7–14 days of surface operations), power budgets, and fluidic volume [1,6]. Furthermore, in operational bioregenerative life support systems, rapid-cycle crops such as microgreens (</w:t>
      </w:r>
      <w:r>
        <w:rPr>
          <w:i/>
          <w:iCs/>
        </w:rPr>
        <w:t xml:space="preserve">Brassica rapa</w:t>
      </w:r>
      <w:r>
        <w:t xml:space="preserve">,</w:t>
      </w:r>
      <w:r>
        <w:t xml:space="preserve"> </w:t>
      </w:r>
      <w:r>
        <w:rPr>
          <w:i/>
          <w:iCs/>
        </w:rPr>
        <w:t xml:space="preserve">Raphanus sativus</w:t>
      </w:r>
      <w:r>
        <w:t xml:space="preserve">) are harvested precisely between days 7 and 14 to maximize nutrient density and volumetric productivity [5,22].</w:t>
      </w:r>
    </w:p>
    <w:p>
      <w:pPr>
        <w:pStyle w:val="BodyText"/>
      </w:pPr>
      <w:r>
        <w:t xml:space="preserve">Consequently,</w:t>
      </w:r>
      <w:r>
        <w:t xml:space="preserve"> </w:t>
      </w:r>
      <w:r>
        <w:rPr>
          <w:b/>
          <w:bCs/>
        </w:rPr>
        <w:t xml:space="preserve">the first five days of growth (0–120 hours post-imbibition) represent the foundational biological bottleneck for lunar agriculture</w:t>
      </w:r>
      <w:r>
        <w:t xml:space="preserve"> </w:t>
      </w:r>
      <w:r>
        <w:t xml:space="preserve">(Figure 3a). During this tightly orchestrated window, the plant undergoes a profound physiological transition: progressing from an anoxic, metabolically quiescent seed relying entirely on heterotrophic reserve mobilization, through radicle protrusion and hypocotyl extension, to blue- and red-light-mediated photomorphogenesis, de-etiolation, and autotrophic photosynthetic competency [23,24].</w:t>
      </w:r>
    </w:p>
    <w:p>
      <w:pPr>
        <w:pStyle w:val="BodyText"/>
      </w:pPr>
      <w:r>
        <w:drawing>
          <wp:inline>
            <wp:extent cx="5334000" cy="4434993"/>
            <wp:effectExtent b="0" l="0" r="0" t="0"/>
            <wp:docPr descr="Figure 3" title="" id="28" name="Picture"/>
            <a:graphic>
              <a:graphicData uri="http://schemas.openxmlformats.org/drawingml/2006/picture">
                <pic:pic>
                  <pic:nvPicPr>
                    <pic:cNvPr descr="/Users/drb_laptop/Documents/NMF_review/figures/Fig3_first_5_days_germination_pigments.png" id="29" name="Picture"/>
                    <pic:cNvPicPr>
                      <a:picLocks noChangeArrowheads="1" noChangeAspect="1"/>
                    </pic:cNvPicPr>
                  </pic:nvPicPr>
                  <pic:blipFill>
                    <a:blip r:embed="rId27"/>
                    <a:stretch>
                      <a:fillRect/>
                    </a:stretch>
                  </pic:blipFill>
                  <pic:spPr bwMode="auto">
                    <a:xfrm>
                      <a:off x="0" y="0"/>
                      <a:ext cx="5334000" cy="4434993"/>
                    </a:xfrm>
                    <a:prstGeom prst="rect">
                      <a:avLst/>
                    </a:prstGeom>
                    <a:noFill/>
                    <a:ln w="9525">
                      <a:noFill/>
                      <a:headEnd/>
                      <a:tailEnd/>
                    </a:ln>
                  </pic:spPr>
                </pic:pic>
              </a:graphicData>
            </a:graphic>
          </wp:inline>
        </w:drawing>
      </w:r>
      <w:r>
        <w:t xml:space="preserve"> </w:t>
      </w:r>
      <w:r>
        <w:rPr>
          <w:b/>
          <w:bCs/>
        </w:rPr>
        <w:t xml:space="preserve">Figure 3 | The first five days of seedling growth under near-null magnetic fields.</w:t>
      </w:r>
      <w:r>
        <w:br/>
      </w:r>
      <w:r>
        <w:rPr>
          <w:b/>
          <w:bCs/>
        </w:rPr>
        <w:t xml:space="preserve">(a) 5-Day Seedling Establishment Timeline:</w:t>
      </w:r>
      <w:r>
        <w:t xml:space="preserve"> </w:t>
      </w:r>
      <w:r>
        <w:t xml:space="preserve">Four sequential developmental phases from imbibition to autotrophy: Phase I (0–24 h: imbibition, oxygen uptake burst, mitochondrial restart, TAG lipase SDP1 activation); Phase II (24–48 h: peroxisomal</w:t>
      </w:r>
      <w:r>
        <w:t xml:space="preserve"> </w:t>
      </w:r>
      <m:oMath>
        <m:r>
          <m:t>β</m:t>
        </m:r>
      </m:oMath>
      <w:r>
        <w:t xml:space="preserve">-oxidation, glyoxylate cycle, radicle emergence); Phase III (48–72 h: radicle elongation, apical meristem cell division, PIN2 polar auxin transport); and Phase IV (72–120 h: de-etiolation, cotyledon opening, cryptochrome/phytochrome light perception, HY5-mediated chlorophyll and anthocyanin accumulation).</w:t>
      </w:r>
      <w:r>
        <w:br/>
      </w:r>
      <w:r>
        <w:rPr>
          <w:b/>
          <w:bCs/>
        </w:rPr>
        <w:t xml:space="preserve">(b) Seed Germination Time-Course &amp; Kinetics (</w:t>
      </w:r>
      <m:oMath>
        <m:sSub>
          <m:e>
            <m:r>
              <m:t>t</m:t>
            </m:r>
          </m:e>
          <m:sub>
            <m:r>
              <m:t>50</m:t>
            </m:r>
          </m:sub>
        </m:sSub>
      </m:oMath>
      <w:r>
        <w:rPr>
          <w:b/>
          <w:bCs/>
        </w:rPr>
        <w:t xml:space="preserve">):</w:t>
      </w:r>
      <w:r>
        <w:t xml:space="preserve"> </w:t>
      </w:r>
      <w:r>
        <w:t xml:space="preserve">Illustrative composite schematic synthesizing empirical non-linear germination curves comparing terrestrial GMF (</w:t>
      </w:r>
      <m:oMath>
        <m:r>
          <m:t>45</m:t>
        </m:r>
        <m:r>
          <m:rPr>
            <m:nor/>
            <m:sty m:val="p"/>
          </m:rPr>
          <m:t>–</m:t>
        </m:r>
        <m:r>
          <m:t>50</m:t>
        </m:r>
        <m:r>
          <m:t> </m:t>
        </m:r>
        <m:r>
          <m:t>μ</m:t>
        </m:r>
        <m:r>
          <m:rPr>
            <m:nor/>
            <m:sty m:val="p"/>
          </m:rPr>
          <m:t>T</m:t>
        </m:r>
      </m:oMath>
      <w:r>
        <w:t xml:space="preserve">, solid blue) versus near-null magnetic field (NNMF</w:t>
      </w:r>
      <w:r>
        <w:t xml:space="preserve"> </w:t>
      </w:r>
      <m:oMath>
        <m:r>
          <m:rPr>
            <m:sty m:val="p"/>
          </m:rPr>
          <m:t>&lt;</m:t>
        </m:r>
        <m:r>
          <m:t>10</m:t>
        </m:r>
        <m:r>
          <m:rPr>
            <m:nor/>
            <m:sty m:val="p"/>
          </m:rPr>
          <m:t> nT</m:t>
        </m:r>
      </m:oMath>
      <w:r>
        <w:t xml:space="preserve">, dashed red) across angiosperms (Table 3). Hypomagnetic exposure causes an average 20% decline in final germination capacity and a 16-hour median emergence lag (</w:t>
      </w:r>
      <m:oMath>
        <m:r>
          <m:rPr>
            <m:sty m:val="p"/>
          </m:rPr>
          <m:t>Δ</m:t>
        </m:r>
        <m:sSub>
          <m:e>
            <m:r>
              <m:t>t</m:t>
            </m:r>
          </m:e>
          <m:sub>
            <m:r>
              <m:t>50</m:t>
            </m:r>
          </m:sub>
        </m:sSub>
      </m:oMath>
      <w:r>
        <w:t xml:space="preserve">, the time required for 50% of the seed population to emerge).</w:t>
      </w:r>
      <w:r>
        <w:br/>
      </w:r>
      <w:r>
        <w:rPr>
          <w:b/>
          <w:bCs/>
        </w:rPr>
        <w:t xml:space="preserve">(c) Seedling Elongation, Vigor, and Biomass Yield:</w:t>
      </w:r>
      <w:r>
        <w:t xml:space="preserve"> </w:t>
      </w:r>
      <w:r>
        <w:t xml:space="preserve">Composite schematic of quantitative reductions in radicle length at Day 3 (-33.0%), hypocotyl height at Day 5 (-31.0%), fresh weight (-29.1%), and total dry biomass yield (-28.5%) under NNMF relative to GMF controls (synthesized from 10 empirical datasets in Table 3). Slower growth directly compromises stand uniformity and harvest index in lunar life support.</w:t>
      </w:r>
      <w:r>
        <w:br/>
      </w:r>
      <w:r>
        <w:rPr>
          <w:b/>
          <w:bCs/>
        </w:rPr>
        <w:t xml:space="preserve">(d) Pigment Biosynthetic Pathway and Transcriptional Repression:</w:t>
      </w:r>
      <w:r>
        <w:t xml:space="preserve"> </w:t>
      </w:r>
      <w:r>
        <w:t xml:space="preserve">Blue-light cryptochrome (CRY1/CRY2) radical-pair spin dynamics are altered under NNMF, attenuating COP1/SPA1 dissociation and dampening transcription factor HY5 stabilization (Tier 1/Tier 2 demonstrated mechanisms). HY5 directly regulates rate-limiting chlorophyll biosynthetic genes (</w:t>
      </w:r>
      <w:r>
        <w:rPr>
          <w:i/>
          <w:iCs/>
        </w:rPr>
        <w:t xml:space="preserve">HEMA1</w:t>
      </w:r>
      <w:r>
        <w:t xml:space="preserve">,</w:t>
      </w:r>
      <w:r>
        <w:t xml:space="preserve"> </w:t>
      </w:r>
      <w:r>
        <w:rPr>
          <w:i/>
          <w:iCs/>
        </w:rPr>
        <w:t xml:space="preserve">CHLH</w:t>
      </w:r>
      <w:r>
        <w:t xml:space="preserve">,</w:t>
      </w:r>
      <w:r>
        <w:t xml:space="preserve"> </w:t>
      </w:r>
      <w:r>
        <w:rPr>
          <w:i/>
          <w:iCs/>
        </w:rPr>
        <w:t xml:space="preserve">PORA/B/C</w:t>
      </w:r>
      <w:r>
        <w:t xml:space="preserve">) and anthocyanin genes (</w:t>
      </w:r>
      <w:r>
        <w:rPr>
          <w:i/>
          <w:iCs/>
        </w:rPr>
        <w:t xml:space="preserve">CHS</w:t>
      </w:r>
      <w:r>
        <w:t xml:space="preserve">,</w:t>
      </w:r>
      <w:r>
        <w:t xml:space="preserve"> </w:t>
      </w:r>
      <w:r>
        <w:rPr>
          <w:i/>
          <w:iCs/>
        </w:rPr>
        <w:t xml:space="preserve">CHI</w:t>
      </w:r>
      <w:r>
        <w:t xml:space="preserve">,</w:t>
      </w:r>
      <w:r>
        <w:t xml:space="preserve"> </w:t>
      </w:r>
      <w:r>
        <w:rPr>
          <w:i/>
          <w:iCs/>
        </w:rPr>
        <w:t xml:space="preserve">F3H</w:t>
      </w:r>
      <w:r>
        <w:t xml:space="preserve">). Downregulation of these transcripts, coupled with a parallel secondary module of iron deficiency chlorosis (</w:t>
      </w:r>
      <w:r>
        <w:rPr>
          <w:i/>
          <w:iCs/>
        </w:rPr>
        <w:t xml:space="preserve">FIT</w:t>
      </w:r>
      <w:r>
        <w:t xml:space="preserve">,</w:t>
      </w:r>
      <w:r>
        <w:t xml:space="preserve"> </w:t>
      </w:r>
      <w:r>
        <w:rPr>
          <w:i/>
          <w:iCs/>
        </w:rPr>
        <w:t xml:space="preserve">IRT1</w:t>
      </w:r>
      <w:r>
        <w:t xml:space="preserve">,</w:t>
      </w:r>
      <w:r>
        <w:t xml:space="preserve"> </w:t>
      </w:r>
      <w:r>
        <w:rPr>
          <w:i/>
          <w:iCs/>
        </w:rPr>
        <w:t xml:space="preserve">AtFer1–4</w:t>
      </w:r>
      <w:r>
        <w:t xml:space="preserve">; actionable candidate countermeasure via Fe-EDTA rescue), arrests etioplast-to-chloroplast differentiation, causing delayed greening and reduced</w:t>
      </w:r>
      <w:r>
        <w:t xml:space="preserve"> </w:t>
      </w:r>
      <m:oMath>
        <m:sSub>
          <m:e>
            <m:r>
              <m:t>F</m:t>
            </m:r>
          </m:e>
          <m:sub>
            <m:r>
              <m:t>v</m:t>
            </m:r>
          </m:sub>
        </m:sSub>
        <m:r>
          <m:rPr>
            <m:sty m:val="p"/>
          </m:rPr>
          <m:t>/</m:t>
        </m:r>
        <m:sSub>
          <m:e>
            <m:r>
              <m:t>F</m:t>
            </m:r>
          </m:e>
          <m:sub>
            <m:r>
              <m:t>m</m:t>
            </m:r>
          </m:sub>
        </m:sSub>
      </m:oMath>
      <w:r>
        <w:t xml:space="preserve">.</w:t>
      </w:r>
    </w:p>
    <w:bookmarkStart w:id="30" w:name="X35a1e4feeeda74da371888fbb01e9193c90505e"/>
    <w:p>
      <w:pPr>
        <w:pStyle w:val="Heading3"/>
      </w:pPr>
      <w:r>
        <w:t xml:space="preserve">3.1 Per-Study Empirical Metadata and Standardized Germination Milestones</w:t>
      </w:r>
    </w:p>
    <w:p>
      <w:pPr>
        <w:pStyle w:val="FirstParagraph"/>
      </w:pPr>
      <w:r>
        <w:t xml:space="preserve">To support rigorous meta-analytic evaluation, Table 3 compiles 10 definitive experimental studies reporting seed germination and early seedling growth under verified hypomagnetic conditions across model and crop species.</w:t>
      </w:r>
    </w:p>
    <w:p>
      <w:pPr>
        <w:pStyle w:val="BodyText"/>
      </w:pPr>
      <w:r>
        <w:t xml:space="preserve">To resolve historical ambiguities in scoring germination, we standardize all reported data against three developmental milestones:</w:t>
      </w:r>
      <w:r>
        <w:t xml:space="preserve"> </w:t>
      </w:r>
      <w:r>
        <w:t xml:space="preserve">-</w:t>
      </w:r>
      <w:r>
        <w:t xml:space="preserve"> </w:t>
      </w:r>
      <w:r>
        <w:rPr>
          <w:b/>
          <w:bCs/>
        </w:rPr>
        <w:t xml:space="preserve">Milestone 1 (</w:t>
      </w:r>
      <m:oMath>
        <m:sSub>
          <m:e>
            <m:r>
              <m:t>M</m:t>
            </m:r>
          </m:e>
          <m:sub>
            <m:r>
              <m:t>1</m:t>
            </m:r>
          </m:sub>
        </m:sSub>
      </m:oMath>
      <w:r>
        <w:rPr>
          <w:b/>
          <w:bCs/>
        </w:rPr>
        <w:t xml:space="preserve">, Testa Rupture):</w:t>
      </w:r>
      <w:r>
        <w:t xml:space="preserve"> </w:t>
      </w:r>
      <w:r>
        <w:t xml:space="preserve">Visible cracking and rupture of the outer maternal seed coat (testa), representing the initial mechanical phase of imbibition and endosperm swelling.</w:t>
      </w:r>
      <w:r>
        <w:t xml:space="preserve"> </w:t>
      </w:r>
      <w:r>
        <w:t xml:space="preserve">-</w:t>
      </w:r>
      <w:r>
        <w:t xml:space="preserve"> </w:t>
      </w:r>
      <w:r>
        <w:rPr>
          <w:b/>
          <w:bCs/>
        </w:rPr>
        <w:t xml:space="preserve">Milestone 2 (</w:t>
      </w:r>
      <m:oMath>
        <m:sSub>
          <m:e>
            <m:r>
              <m:t>M</m:t>
            </m:r>
          </m:e>
          <m:sub>
            <m:r>
              <m:t>2</m:t>
            </m:r>
          </m:sub>
        </m:sSub>
      </m:oMath>
      <w:r>
        <w:rPr>
          <w:b/>
          <w:bCs/>
        </w:rPr>
        <w:t xml:space="preserve">, Radicle Emergence):</w:t>
      </w:r>
      <w:r>
        <w:t xml:space="preserve"> </w:t>
      </w:r>
      <w:r>
        <w:t xml:space="preserve">Protrusion of the embryonic radicle</w:t>
      </w:r>
      <w:r>
        <w:t xml:space="preserve"> </w:t>
      </w:r>
      <m:oMath>
        <m:r>
          <m:rPr>
            <m:sty m:val="p"/>
          </m:rPr>
          <m:t>≥</m:t>
        </m:r>
        <m:r>
          <m:t>1</m:t>
        </m:r>
        <m:r>
          <m:rPr>
            <m:nor/>
            <m:sty m:val="p"/>
          </m:rPr>
          <m:t> mm</m:t>
        </m:r>
      </m:oMath>
      <w:r>
        <w:t xml:space="preserve"> </w:t>
      </w:r>
      <w:r>
        <w:t xml:space="preserve">through the endosperm, marking irreversible dormancy release and metabolic commitment to vegetative growth.</w:t>
      </w:r>
      <w:r>
        <w:t xml:space="preserve"> </w:t>
      </w:r>
      <w:r>
        <w:t xml:space="preserve">-</w:t>
      </w:r>
      <w:r>
        <w:t xml:space="preserve"> </w:t>
      </w:r>
      <w:r>
        <w:rPr>
          <w:b/>
          <w:bCs/>
        </w:rPr>
        <w:t xml:space="preserve">Milestone 3 (</w:t>
      </w:r>
      <m:oMath>
        <m:sSub>
          <m:e>
            <m:r>
              <m:t>M</m:t>
            </m:r>
          </m:e>
          <m:sub>
            <m:r>
              <m:t>3</m:t>
            </m:r>
          </m:sub>
        </m:sSub>
      </m:oMath>
      <w:r>
        <w:rPr>
          <w:b/>
          <w:bCs/>
        </w:rPr>
        <w:t xml:space="preserve">, Cotyledon Unfolding &amp; Greening):</w:t>
      </w:r>
      <w:r>
        <w:t xml:space="preserve"> </w:t>
      </w:r>
      <w:r>
        <w:t xml:space="preserve">Complete de-etiolation, cotyledon expansion, and initial synthesis of photosynthetic chlorophylls in the illuminated canopy.</w:t>
      </w:r>
    </w:p>
    <w:p>
      <w:pPr>
        <w:pStyle w:val="BodyText"/>
      </w:pPr>
      <w:r>
        <w:rPr>
          <w:b/>
          <w:bCs/>
        </w:rPr>
        <w:t xml:space="preserve">Table 3 | Empirical plant germination, emergence kinetics (</w:t>
      </w:r>
      <m:oMath>
        <m:sSub>
          <m:e>
            <m:r>
              <m:t>t</m:t>
            </m:r>
          </m:e>
          <m:sub>
            <m:r>
              <m:t>50</m:t>
            </m:r>
          </m:sub>
        </m:sSub>
      </m:oMath>
      <w:r>
        <w:rPr>
          <w:b/>
          <w:bCs/>
        </w:rPr>
        <w:t xml:space="preserve">), and early biomass datasets synthesized in this review.</w:t>
      </w:r>
      <w:r>
        <w:t xml:space="preserve"> </w:t>
      </w:r>
      <w:r>
        <w:t xml:space="preserve">Compiled per-study metadata detailing plant species, ecotype, residual magnetic field at the seed plane, shielding methodology, experimental controls, sample replicate sizes (</w:t>
      </w:r>
      <m:oMath>
        <m:r>
          <m:t>N</m:t>
        </m:r>
      </m:oMath>
      <w:r>
        <w:t xml:space="preserve">), scored milestone (</w:t>
      </w:r>
      <m:oMath>
        <m:sSub>
          <m:e>
            <m:r>
              <m:t>M</m:t>
            </m:r>
          </m:e>
          <m:sub>
            <m:r>
              <m:t>1</m:t>
            </m:r>
          </m:sub>
        </m:sSub>
        <m:r>
          <m:rPr>
            <m:nor/>
            <m:sty m:val="p"/>
          </m:rPr>
          <m:t>–</m:t>
        </m:r>
        <m:sSub>
          <m:e>
            <m:r>
              <m:t>M</m:t>
            </m:r>
          </m:e>
          <m:sub>
            <m:r>
              <m:t>3</m:t>
            </m:r>
          </m:sub>
        </m:sSub>
      </m:oMath>
      <w:r>
        <w:t xml:space="preserve">), germination capacity delta, median emergence lag (</w:t>
      </w:r>
      <m:oMath>
        <m:r>
          <m:rPr>
            <m:sty m:val="p"/>
          </m:rPr>
          <m:t>Δ</m:t>
        </m:r>
        <m:sSub>
          <m:e>
            <m:r>
              <m:t>t</m:t>
            </m:r>
          </m:e>
          <m:sub>
            <m:r>
              <m:t>50</m:t>
            </m:r>
          </m:sub>
        </m:sSub>
      </m:oMath>
      <w:r>
        <w:t xml:space="preserve">), Day 5 biomass penalty, and reference citations.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jc w:val="left"/>
            </w:pPr>
            <w:r>
              <w:t xml:space="preserve">Study / Citation</w:t>
            </w:r>
          </w:p>
        </w:tc>
        <w:tc>
          <w:tcPr/>
          <w:p>
            <w:pPr>
              <w:pStyle w:val="Compact"/>
              <w:jc w:val="left"/>
            </w:pPr>
            <w:r>
              <w:t xml:space="preserve">Plant Species &amp; Ecotype / Cultivar</w:t>
            </w:r>
          </w:p>
        </w:tc>
        <w:tc>
          <w:tcPr/>
          <w:p>
            <w:pPr>
              <w:pStyle w:val="Compact"/>
              <w:jc w:val="left"/>
            </w:pPr>
            <w:r>
              <w:t xml:space="preserve">Residual Field at Seed Plane</w:t>
            </w:r>
          </w:p>
        </w:tc>
        <w:tc>
          <w:tcPr/>
          <w:p>
            <w:pPr>
              <w:pStyle w:val="Compact"/>
              <w:jc w:val="left"/>
            </w:pPr>
            <w:r>
              <w:t xml:space="preserve">Shielding Method</w:t>
            </w:r>
          </w:p>
        </w:tc>
        <w:tc>
          <w:tcPr/>
          <w:p>
            <w:pPr>
              <w:pStyle w:val="Compact"/>
              <w:jc w:val="left"/>
            </w:pPr>
            <w:r>
              <w:t xml:space="preserve">Experimental Controls</w:t>
            </w:r>
          </w:p>
        </w:tc>
        <w:tc>
          <w:tcPr/>
          <w:p>
            <w:pPr>
              <w:pStyle w:val="Compact"/>
              <w:jc w:val="left"/>
            </w:pPr>
            <w:r>
              <w:t xml:space="preserve">Sample Size (</w:t>
            </w:r>
            <m:oMath>
              <m:r>
                <m:t>N</m:t>
              </m:r>
            </m:oMath>
            <w:r>
              <w:t xml:space="preserve">)</w:t>
            </w:r>
          </w:p>
        </w:tc>
        <w:tc>
          <w:tcPr/>
          <w:p>
            <w:pPr>
              <w:pStyle w:val="Compact"/>
              <w:jc w:val="left"/>
            </w:pPr>
            <w:r>
              <w:t xml:space="preserve">Scored Milestone</w:t>
            </w:r>
          </w:p>
        </w:tc>
        <w:tc>
          <w:tcPr/>
          <w:p>
            <w:pPr>
              <w:pStyle w:val="Compact"/>
              <w:jc w:val="left"/>
            </w:pPr>
            <w:r>
              <w:t xml:space="preserve">Germination Capacity Delta</w:t>
            </w:r>
          </w:p>
        </w:tc>
        <w:tc>
          <w:tcPr/>
          <w:p>
            <w:pPr>
              <w:pStyle w:val="Compact"/>
              <w:jc w:val="left"/>
            </w:pPr>
            <w:r>
              <w:t xml:space="preserve">Emergence Lag (</w:t>
            </w:r>
            <m:oMath>
              <m:r>
                <m:rPr>
                  <m:sty m:val="p"/>
                </m:rPr>
                <m:t>Δ</m:t>
              </m:r>
              <m:sSub>
                <m:e>
                  <m:r>
                    <m:t>t</m:t>
                  </m:r>
                </m:e>
                <m:sub>
                  <m:r>
                    <m:t>50</m:t>
                  </m:r>
                </m:sub>
              </m:sSub>
            </m:oMath>
            <w:r>
              <w:t xml:space="preserve">)</w:t>
            </w:r>
          </w:p>
        </w:tc>
        <w:tc>
          <w:tcPr/>
          <w:p>
            <w:pPr>
              <w:pStyle w:val="Compact"/>
              <w:jc w:val="left"/>
            </w:pPr>
            <w:r>
              <w:t xml:space="preserve">Day 5 Biomass Penalty</w:t>
            </w:r>
          </w:p>
        </w:tc>
      </w:tr>
      <w:tr>
        <w:tc>
          <w:tcPr/>
          <w:p>
            <w:pPr>
              <w:pStyle w:val="Compact"/>
              <w:jc w:val="left"/>
            </w:pPr>
            <w:r>
              <w:rPr>
                <w:b/>
                <w:bCs/>
              </w:rPr>
              <w:t xml:space="preserve">Xu et al. (2013)</w:t>
            </w:r>
            <w:r>
              <w:t xml:space="preserve"> </w:t>
            </w:r>
            <w:r>
              <w:t xml:space="preserve">[28]</w:t>
            </w:r>
          </w:p>
        </w:tc>
        <w:tc>
          <w:tcPr/>
          <w:p>
            <w:pPr>
              <w:pStyle w:val="Compact"/>
              <w:jc w:val="left"/>
            </w:pPr>
            <w:r>
              <w:rPr>
                <w:i/>
                <w:iCs/>
              </w:rPr>
              <w:t xml:space="preserve">Arabidopsis thaliana</w:t>
            </w:r>
            <w:r>
              <w:t xml:space="preserve"> </w:t>
            </w:r>
            <w:r>
              <w:t xml:space="preserve">(Col-0)</w:t>
            </w:r>
          </w:p>
        </w:tc>
        <w:tc>
          <w:tcPr/>
          <w:p>
            <w:pPr>
              <w:pStyle w:val="Compact"/>
              <w:jc w:val="left"/>
            </w:pPr>
            <m:oMath>
              <m:r>
                <m:rPr>
                  <m:sty m:val="p"/>
                </m:rPr>
                <m:t>&lt;</m:t>
              </m:r>
              <m:r>
                <m:t>10</m:t>
              </m:r>
              <m:r>
                <m:rPr>
                  <m:nor/>
                  <m:sty m:val="p"/>
                </m:rPr>
                <m:t> nT</m:t>
              </m:r>
            </m:oMath>
            <w:r>
              <w:t xml:space="preserve">​</w:t>
            </w:r>
          </w:p>
        </w:tc>
        <w:tc>
          <w:tcPr/>
          <w:p>
            <w:pPr>
              <w:pStyle w:val="Compact"/>
              <w:jc w:val="left"/>
            </w:pPr>
            <w:r>
              <w:t xml:space="preserve">Triaxial Helmholtz cancellation</w:t>
            </w:r>
          </w:p>
        </w:tc>
        <w:tc>
          <w:tcPr/>
          <w:p>
            <w:pPr>
              <w:pStyle w:val="Compact"/>
              <w:jc w:val="left"/>
            </w:pPr>
            <w:r>
              <w:t xml:space="preserve">Matched chamber GMF control (</w:t>
            </w:r>
            <m:oMath>
              <m:r>
                <m:t>45</m:t>
              </m:r>
              <m:r>
                <m:t> </m:t>
              </m:r>
              <m:r>
                <m:t>μ</m:t>
              </m:r>
              <m:r>
                <m:rPr>
                  <m:nor/>
                  <m:sty m:val="p"/>
                </m:rPr>
                <m:t>T</m:t>
              </m:r>
            </m:oMath>
            <w:r>
              <w:t xml:space="preserve">)</w:t>
            </w:r>
          </w:p>
        </w:tc>
        <w:tc>
          <w:tcPr/>
          <w:p>
            <w:pPr>
              <w:pStyle w:val="Compact"/>
              <w:jc w:val="left"/>
            </w:pPr>
            <m:oMath>
              <m:r>
                <m:t>N</m:t>
              </m:r>
              <m:r>
                <m:rPr>
                  <m:sty m:val="p"/>
                </m:rPr>
                <m:t>=</m:t>
              </m:r>
              <m:r>
                <m:t>120</m:t>
              </m:r>
            </m:oMath>
            <w:r>
              <w:t xml:space="preserve"> </w:t>
            </w:r>
            <w:r>
              <w:t xml:space="preserve">seeds</w:t>
            </w:r>
          </w:p>
        </w:tc>
        <w:tc>
          <w:tcPr/>
          <w:p>
            <w:pPr>
              <w:pStyle w:val="Compact"/>
              <w:jc w:val="left"/>
            </w:pPr>
            <m:oMath>
              <m:sSub>
                <m:e>
                  <m:r>
                    <m:t>M</m:t>
                  </m:r>
                </m:e>
                <m:sub>
                  <m:r>
                    <m:t>1</m:t>
                  </m:r>
                </m:sub>
              </m:sSub>
            </m:oMath>
            <w:r>
              <w:t xml:space="preserve"> </w:t>
            </w:r>
            <w:r>
              <w:t xml:space="preserve">(Testa rupture)</w:t>
            </w:r>
          </w:p>
        </w:tc>
        <w:tc>
          <w:tcPr/>
          <w:p>
            <w:pPr>
              <w:pStyle w:val="Compact"/>
              <w:jc w:val="left"/>
            </w:pPr>
            <m:oMath>
              <m:r>
                <m:rPr>
                  <m:sty m:val="p"/>
                </m:rPr>
                <m:t>−</m:t>
              </m:r>
              <m:r>
                <m:t>18.5</m:t>
              </m:r>
              <m:r>
                <m:rPr>
                  <m:sty m:val="p"/>
                </m:rPr>
                <m:t>%</m:t>
              </m:r>
            </m:oMath>
            <w:r>
              <w:t xml:space="preserve">​</w:t>
            </w:r>
          </w:p>
        </w:tc>
        <w:tc>
          <w:tcPr/>
          <w:p>
            <w:pPr>
              <w:pStyle w:val="Compact"/>
              <w:jc w:val="left"/>
            </w:pPr>
            <m:oMath>
              <m:r>
                <m:rPr>
                  <m:sty m:val="p"/>
                </m:rPr>
                <m:t>+</m:t>
              </m:r>
              <m:r>
                <m:t>14.2</m:t>
              </m:r>
              <m:r>
                <m:rPr>
                  <m:nor/>
                  <m:sty m:val="p"/>
                </m:rPr>
                <m:t> h</m:t>
              </m:r>
            </m:oMath>
            <w:r>
              <w:t xml:space="preserve">​</w:t>
            </w:r>
          </w:p>
        </w:tc>
        <w:tc>
          <w:tcPr/>
          <w:p>
            <w:pPr>
              <w:pStyle w:val="Compact"/>
              <w:jc w:val="left"/>
            </w:pPr>
            <m:oMath>
              <m:r>
                <m:rPr>
                  <m:sty m:val="p"/>
                </m:rPr>
                <m:t>−</m:t>
              </m:r>
              <m:r>
                <m:t>24.0</m:t>
              </m:r>
              <m:r>
                <m:rPr>
                  <m:sty m:val="p"/>
                </m:rPr>
                <m:t>%</m:t>
              </m:r>
            </m:oMath>
            <w:r>
              <w:t xml:space="preserve"> </w:t>
            </w:r>
            <w:r>
              <w:t xml:space="preserve">(dry)</w:t>
            </w:r>
          </w:p>
        </w:tc>
      </w:tr>
      <w:tr>
        <w:tc>
          <w:tcPr/>
          <w:p>
            <w:pPr>
              <w:pStyle w:val="Compact"/>
              <w:jc w:val="left"/>
            </w:pPr>
            <w:r>
              <w:rPr>
                <w:b/>
                <w:bCs/>
              </w:rPr>
              <w:t xml:space="preserve">Tang et al. (2024)</w:t>
            </w:r>
            <w:r>
              <w:t xml:space="preserve"> </w:t>
            </w:r>
            <w:r>
              <w:t xml:space="preserve">[31]</w:t>
            </w:r>
          </w:p>
        </w:tc>
        <w:tc>
          <w:tcPr/>
          <w:p>
            <w:pPr>
              <w:pStyle w:val="Compact"/>
              <w:jc w:val="left"/>
            </w:pPr>
            <w:r>
              <w:rPr>
                <w:i/>
                <w:iCs/>
              </w:rPr>
              <w:t xml:space="preserve">Triticum aestivum</w:t>
            </w:r>
            <w:r>
              <w:t xml:space="preserve"> </w:t>
            </w:r>
            <w:r>
              <w:t xml:space="preserve">(wheat cv. Jimai 22)</w:t>
            </w:r>
          </w:p>
        </w:tc>
        <w:tc>
          <w:tcPr/>
          <w:p>
            <w:pPr>
              <w:pStyle w:val="Compact"/>
              <w:jc w:val="left"/>
            </w:pPr>
            <m:oMath>
              <m:r>
                <m:rPr>
                  <m:sty m:val="p"/>
                </m:rPr>
                <m:t>&lt;</m:t>
              </m:r>
              <m:r>
                <m:t>5</m:t>
              </m:r>
              <m:r>
                <m:rPr>
                  <m:nor/>
                  <m:sty m:val="p"/>
                </m:rPr>
                <m:t> nT</m:t>
              </m:r>
            </m:oMath>
            <w:r>
              <w:t xml:space="preserve">​</w:t>
            </w:r>
          </w:p>
        </w:tc>
        <w:tc>
          <w:tcPr/>
          <w:p>
            <w:pPr>
              <w:pStyle w:val="Compact"/>
              <w:jc w:val="left"/>
            </w:pPr>
            <w:r>
              <w:t xml:space="preserve">3-layer Permalloy magnetic shield</w:t>
            </w:r>
          </w:p>
        </w:tc>
        <w:tc>
          <w:tcPr/>
          <w:p>
            <w:pPr>
              <w:pStyle w:val="Compact"/>
              <w:jc w:val="left"/>
            </w:pPr>
            <w:r>
              <w:t xml:space="preserve">External GMF chamber (</w:t>
            </w:r>
            <m:oMath>
              <m:r>
                <m:t>50</m:t>
              </m:r>
              <m:r>
                <m:t> </m:t>
              </m:r>
              <m:r>
                <m:t>μ</m:t>
              </m:r>
              <m:r>
                <m:rPr>
                  <m:nor/>
                  <m:sty m:val="p"/>
                </m:rPr>
                <m:t>T</m:t>
              </m:r>
            </m:oMath>
            <w:r>
              <w:t xml:space="preserve">)</w:t>
            </w:r>
          </w:p>
        </w:tc>
        <w:tc>
          <w:tcPr/>
          <w:p>
            <w:pPr>
              <w:pStyle w:val="Compact"/>
              <w:jc w:val="left"/>
            </w:pPr>
            <m:oMath>
              <m:r>
                <m:t>N</m:t>
              </m:r>
              <m:r>
                <m:rPr>
                  <m:sty m:val="p"/>
                </m:rPr>
                <m:t>=</m:t>
              </m:r>
              <m:r>
                <m:t>150</m:t>
              </m:r>
            </m:oMath>
            <w:r>
              <w:t xml:space="preserve"> </w:t>
            </w:r>
            <w:r>
              <w:t xml:space="preserve">caryopses</w:t>
            </w:r>
          </w:p>
        </w:tc>
        <w:tc>
          <w:tcPr/>
          <w:p>
            <w:pPr>
              <w:pStyle w:val="Compact"/>
              <w:jc w:val="left"/>
            </w:pPr>
            <m:oMath>
              <m:sSub>
                <m:e>
                  <m:r>
                    <m:t>M</m:t>
                  </m:r>
                </m:e>
                <m:sub>
                  <m:r>
                    <m:t>1</m:t>
                  </m:r>
                </m:sub>
              </m:sSub>
              <m:r>
                <m:rPr>
                  <m:sty m:val="p"/>
                </m:rPr>
                <m:t>/</m:t>
              </m:r>
              <m:sSub>
                <m:e>
                  <m:r>
                    <m:t>M</m:t>
                  </m:r>
                </m:e>
                <m:sub>
                  <m:r>
                    <m:t>2</m:t>
                  </m:r>
                </m:sub>
              </m:sSub>
            </m:oMath>
            <w:r>
              <w:t xml:space="preserve"> </w:t>
            </w:r>
            <w:r>
              <w:t xml:space="preserve">(Radicle emergence)</w:t>
            </w:r>
          </w:p>
        </w:tc>
        <w:tc>
          <w:tcPr/>
          <w:p>
            <w:pPr>
              <w:pStyle w:val="Compact"/>
              <w:jc w:val="left"/>
            </w:pPr>
            <m:oMath>
              <m:r>
                <m:rPr>
                  <m:sty m:val="p"/>
                </m:rPr>
                <m:t>−</m:t>
              </m:r>
              <m:r>
                <m:t>22.0</m:t>
              </m:r>
              <m:r>
                <m:rPr>
                  <m:sty m:val="p"/>
                </m:rPr>
                <m:t>%</m:t>
              </m:r>
            </m:oMath>
            <w:r>
              <w:t xml:space="preserve">​</w:t>
            </w:r>
          </w:p>
        </w:tc>
        <w:tc>
          <w:tcPr/>
          <w:p>
            <w:pPr>
              <w:pStyle w:val="Compact"/>
              <w:jc w:val="left"/>
            </w:pPr>
            <m:oMath>
              <m:r>
                <m:rPr>
                  <m:sty m:val="p"/>
                </m:rPr>
                <m:t>+</m:t>
              </m:r>
              <m:r>
                <m:t>18.5</m:t>
              </m:r>
              <m:r>
                <m:rPr>
                  <m:nor/>
                  <m:sty m:val="p"/>
                </m:rPr>
                <m:t> h</m:t>
              </m:r>
            </m:oMath>
            <w:r>
              <w:t xml:space="preserve">​</w:t>
            </w:r>
          </w:p>
        </w:tc>
        <w:tc>
          <w:tcPr/>
          <w:p>
            <w:pPr>
              <w:pStyle w:val="Compact"/>
              <w:jc w:val="left"/>
            </w:pPr>
            <m:oMath>
              <m:r>
                <m:rPr>
                  <m:sty m:val="p"/>
                </m:rPr>
                <m:t>−</m:t>
              </m:r>
              <m:r>
                <m:t>29.2</m:t>
              </m:r>
              <m:r>
                <m:rPr>
                  <m:sty m:val="p"/>
                </m:rPr>
                <m:t>%</m:t>
              </m:r>
            </m:oMath>
            <w:r>
              <w:t xml:space="preserve"> </w:t>
            </w:r>
            <w:r>
              <w:t xml:space="preserve">(fresh)</w:t>
            </w:r>
          </w:p>
        </w:tc>
      </w:tr>
      <w:tr>
        <w:tc>
          <w:tcPr/>
          <w:p>
            <w:pPr>
              <w:pStyle w:val="Compact"/>
              <w:jc w:val="left"/>
            </w:pPr>
            <w:r>
              <w:rPr>
                <w:b/>
                <w:bCs/>
              </w:rPr>
              <w:t xml:space="preserve">Agliassa et al. (2018)</w:t>
            </w:r>
            <w:r>
              <w:t xml:space="preserve"> </w:t>
            </w:r>
            <w:r>
              <w:t xml:space="preserve">[45]</w:t>
            </w:r>
          </w:p>
        </w:tc>
        <w:tc>
          <w:tcPr/>
          <w:p>
            <w:pPr>
              <w:pStyle w:val="Compact"/>
              <w:jc w:val="left"/>
            </w:pPr>
            <w:r>
              <w:rPr>
                <w:i/>
                <w:iCs/>
              </w:rPr>
              <w:t xml:space="preserve">Arabidopsis thaliana</w:t>
            </w:r>
            <w:r>
              <w:t xml:space="preserve"> </w:t>
            </w:r>
            <w:r>
              <w:t xml:space="preserve">(Col-0)</w:t>
            </w:r>
          </w:p>
        </w:tc>
        <w:tc>
          <w:tcPr/>
          <w:p>
            <w:pPr>
              <w:pStyle w:val="Compact"/>
              <w:jc w:val="left"/>
            </w:pPr>
            <m:oMath>
              <m:r>
                <m:rPr>
                  <m:sty m:val="p"/>
                </m:rPr>
                <m:t>&lt;</m:t>
              </m:r>
              <m:r>
                <m:t>10</m:t>
              </m:r>
              <m:r>
                <m:rPr>
                  <m:nor/>
                  <m:sty m:val="p"/>
                </m:rPr>
                <m:t> nT</m:t>
              </m:r>
            </m:oMath>
            <w:r>
              <w:t xml:space="preserve">​</w:t>
            </w:r>
          </w:p>
        </w:tc>
        <w:tc>
          <w:tcPr/>
          <w:p>
            <w:pPr>
              <w:pStyle w:val="Compact"/>
              <w:jc w:val="left"/>
            </w:pPr>
            <w:r>
              <w:t xml:space="preserve">Triaxial Helmholtz system</w:t>
            </w:r>
          </w:p>
        </w:tc>
        <w:tc>
          <w:tcPr/>
          <w:p>
            <w:pPr>
              <w:pStyle w:val="Compact"/>
              <w:jc w:val="left"/>
            </w:pPr>
            <w:r>
              <w:t xml:space="preserve">Matched GMF control (</w:t>
            </w:r>
            <m:oMath>
              <m:r>
                <m:t>44</m:t>
              </m:r>
              <m:r>
                <m:t> </m:t>
              </m:r>
              <m:r>
                <m:t>μ</m:t>
              </m:r>
              <m:r>
                <m:rPr>
                  <m:nor/>
                  <m:sty m:val="p"/>
                </m:rPr>
                <m:t>T</m:t>
              </m:r>
            </m:oMath>
            <w:r>
              <w:t xml:space="preserve">)</w:t>
            </w:r>
          </w:p>
        </w:tc>
        <w:tc>
          <w:tcPr/>
          <w:p>
            <w:pPr>
              <w:pStyle w:val="Compact"/>
              <w:jc w:val="left"/>
            </w:pPr>
            <m:oMath>
              <m:r>
                <m:t>N</m:t>
              </m:r>
              <m:r>
                <m:rPr>
                  <m:sty m:val="p"/>
                </m:rPr>
                <m:t>=</m:t>
              </m:r>
              <m:r>
                <m:t>100</m:t>
              </m:r>
            </m:oMath>
            <w:r>
              <w:t xml:space="preserve"> </w:t>
            </w:r>
            <w:r>
              <w:t xml:space="preserve">seeds</w:t>
            </w:r>
          </w:p>
        </w:tc>
        <w:tc>
          <w:tcPr/>
          <w:p>
            <w:pPr>
              <w:pStyle w:val="Compact"/>
              <w:jc w:val="left"/>
            </w:pPr>
            <m:oMath>
              <m:sSub>
                <m:e>
                  <m:r>
                    <m:t>M</m:t>
                  </m:r>
                </m:e>
                <m:sub>
                  <m:r>
                    <m:t>1</m:t>
                  </m:r>
                </m:sub>
              </m:sSub>
              <m:r>
                <m:rPr>
                  <m:sty m:val="p"/>
                </m:rPr>
                <m:t>/</m:t>
              </m:r>
              <m:sSub>
                <m:e>
                  <m:r>
                    <m:t>M</m:t>
                  </m:r>
                </m:e>
                <m:sub>
                  <m:r>
                    <m:t>3</m:t>
                  </m:r>
                </m:sub>
              </m:sSub>
            </m:oMath>
            <w:r>
              <w:t xml:space="preserve"> </w:t>
            </w:r>
            <w:r>
              <w:t xml:space="preserve">(Cotyledons)</w:t>
            </w:r>
          </w:p>
        </w:tc>
        <w:tc>
          <w:tcPr/>
          <w:p>
            <w:pPr>
              <w:pStyle w:val="Compact"/>
              <w:jc w:val="left"/>
            </w:pPr>
            <m:oMath>
              <m:r>
                <m:rPr>
                  <m:sty m:val="p"/>
                </m:rPr>
                <m:t>−</m:t>
              </m:r>
              <m:r>
                <m:t>15.0</m:t>
              </m:r>
              <m:r>
                <m:rPr>
                  <m:sty m:val="p"/>
                </m:rPr>
                <m:t>%</m:t>
              </m:r>
            </m:oMath>
            <w:r>
              <w:t xml:space="preserve">​</w:t>
            </w:r>
          </w:p>
        </w:tc>
        <w:tc>
          <w:tcPr/>
          <w:p>
            <w:pPr>
              <w:pStyle w:val="Compact"/>
              <w:jc w:val="left"/>
            </w:pPr>
            <m:oMath>
              <m:r>
                <m:rPr>
                  <m:sty m:val="p"/>
                </m:rPr>
                <m:t>+</m:t>
              </m:r>
              <m:r>
                <m:t>12.0</m:t>
              </m:r>
              <m:r>
                <m:rPr>
                  <m:nor/>
                  <m:sty m:val="p"/>
                </m:rPr>
                <m:t> h</m:t>
              </m:r>
            </m:oMath>
            <w:r>
              <w:t xml:space="preserve">​</w:t>
            </w:r>
          </w:p>
        </w:tc>
        <w:tc>
          <w:tcPr/>
          <w:p>
            <w:pPr>
              <w:pStyle w:val="Compact"/>
              <w:jc w:val="left"/>
            </w:pPr>
            <m:oMath>
              <m:r>
                <m:rPr>
                  <m:sty m:val="p"/>
                </m:rPr>
                <m:t>−</m:t>
              </m:r>
              <m:r>
                <m:t>21.5</m:t>
              </m:r>
              <m:r>
                <m:rPr>
                  <m:sty m:val="p"/>
                </m:rPr>
                <m:t>%</m:t>
              </m:r>
            </m:oMath>
            <w:r>
              <w:t xml:space="preserve"> </w:t>
            </w:r>
            <w:r>
              <w:t xml:space="preserve">(dry)</w:t>
            </w:r>
          </w:p>
        </w:tc>
      </w:tr>
      <w:tr>
        <w:tc>
          <w:tcPr/>
          <w:p>
            <w:pPr>
              <w:pStyle w:val="Compact"/>
              <w:jc w:val="left"/>
            </w:pPr>
            <w:r>
              <w:rPr>
                <w:b/>
                <w:bCs/>
              </w:rPr>
              <w:t xml:space="preserve">Pooam et al. (2019)</w:t>
            </w:r>
            <w:r>
              <w:t xml:space="preserve"> </w:t>
            </w:r>
            <w:r>
              <w:t xml:space="preserve">[58]</w:t>
            </w:r>
          </w:p>
        </w:tc>
        <w:tc>
          <w:tcPr/>
          <w:p>
            <w:pPr>
              <w:pStyle w:val="Compact"/>
              <w:jc w:val="left"/>
            </w:pPr>
            <w:r>
              <w:rPr>
                <w:i/>
                <w:iCs/>
              </w:rPr>
              <w:t xml:space="preserve">Arabidopsis thaliana</w:t>
            </w:r>
            <w:r>
              <w:t xml:space="preserve"> </w:t>
            </w:r>
            <w:r>
              <w:t xml:space="preserve">(Col-0 &amp;</w:t>
            </w:r>
            <w:r>
              <w:t xml:space="preserve"> </w:t>
            </w:r>
            <w:r>
              <w:rPr>
                <w:i/>
                <w:iCs/>
              </w:rPr>
              <w:t xml:space="preserve">cry1/cry2</w:t>
            </w:r>
            <w:r>
              <w:t xml:space="preserve">)</w:t>
            </w:r>
          </w:p>
        </w:tc>
        <w:tc>
          <w:tcPr/>
          <w:p>
            <w:pPr>
              <w:pStyle w:val="Compact"/>
              <w:jc w:val="left"/>
            </w:pPr>
            <m:oMath>
              <m:r>
                <m:rPr>
                  <m:sty m:val="p"/>
                </m:rPr>
                <m:t>&lt;</m:t>
              </m:r>
              <m:r>
                <m:t>5</m:t>
              </m:r>
              <m:r>
                <m:rPr>
                  <m:nor/>
                  <m:sty m:val="p"/>
                </m:rPr>
                <m:t> nT</m:t>
              </m:r>
            </m:oMath>
            <w:r>
              <w:t xml:space="preserve">​</w:t>
            </w:r>
          </w:p>
        </w:tc>
        <w:tc>
          <w:tcPr/>
          <w:p>
            <w:pPr>
              <w:pStyle w:val="Compact"/>
              <w:jc w:val="left"/>
            </w:pPr>
            <w:r>
              <w:t xml:space="preserve">Triaxial Merritt coils</w:t>
            </w:r>
          </w:p>
        </w:tc>
        <w:tc>
          <w:tcPr/>
          <w:p>
            <w:pPr>
              <w:pStyle w:val="Compact"/>
              <w:jc w:val="left"/>
            </w:pPr>
            <w:r>
              <w:t xml:space="preserve">Matched local GMF (</w:t>
            </w:r>
            <m:oMath>
              <m:r>
                <m:t>48</m:t>
              </m:r>
              <m:r>
                <m:t> </m:t>
              </m:r>
              <m:r>
                <m:t>μ</m:t>
              </m:r>
              <m:r>
                <m:rPr>
                  <m:nor/>
                  <m:sty m:val="p"/>
                </m:rPr>
                <m:t>T</m:t>
              </m:r>
            </m:oMath>
            <w:r>
              <w:t xml:space="preserve">)</w:t>
            </w:r>
          </w:p>
        </w:tc>
        <w:tc>
          <w:tcPr/>
          <w:p>
            <w:pPr>
              <w:pStyle w:val="Compact"/>
              <w:jc w:val="left"/>
            </w:pPr>
            <m:oMath>
              <m:r>
                <m:t>N</m:t>
              </m:r>
              <m:r>
                <m:rPr>
                  <m:sty m:val="p"/>
                </m:rPr>
                <m:t>=</m:t>
              </m:r>
              <m:r>
                <m:t>90</m:t>
              </m:r>
            </m:oMath>
            <w:r>
              <w:t xml:space="preserve"> </w:t>
            </w:r>
            <w:r>
              <w:t xml:space="preserve">seeds</w:t>
            </w:r>
          </w:p>
        </w:tc>
        <w:tc>
          <w:tcPr/>
          <w:p>
            <w:pPr>
              <w:pStyle w:val="Compact"/>
              <w:jc w:val="left"/>
            </w:pPr>
            <m:oMath>
              <m:sSub>
                <m:e>
                  <m:r>
                    <m:t>M</m:t>
                  </m:r>
                </m:e>
                <m:sub>
                  <m:r>
                    <m:t>2</m:t>
                  </m:r>
                </m:sub>
              </m:sSub>
              <m:r>
                <m:rPr>
                  <m:sty m:val="p"/>
                </m:rPr>
                <m:t>/</m:t>
              </m:r>
              <m:sSub>
                <m:e>
                  <m:r>
                    <m:t>M</m:t>
                  </m:r>
                </m:e>
                <m:sub>
                  <m:r>
                    <m:t>3</m:t>
                  </m:r>
                </m:sub>
              </m:sSub>
            </m:oMath>
            <w:r>
              <w:t xml:space="preserve"> </w:t>
            </w:r>
            <w:r>
              <w:t xml:space="preserve">(De-etiolation)</w:t>
            </w:r>
          </w:p>
        </w:tc>
        <w:tc>
          <w:tcPr/>
          <w:p>
            <w:pPr>
              <w:pStyle w:val="Compact"/>
              <w:jc w:val="left"/>
            </w:pPr>
            <m:oMath>
              <m:r>
                <m:rPr>
                  <m:sty m:val="p"/>
                </m:rPr>
                <m:t>−</m:t>
              </m:r>
              <m:r>
                <m:t>12.0</m:t>
              </m:r>
              <m:r>
                <m:rPr>
                  <m:sty m:val="p"/>
                </m:rPr>
                <m:t>%</m:t>
              </m:r>
            </m:oMath>
            <w:r>
              <w:t xml:space="preserve">​</w:t>
            </w:r>
          </w:p>
        </w:tc>
        <w:tc>
          <w:tcPr/>
          <w:p>
            <w:pPr>
              <w:pStyle w:val="Compact"/>
              <w:jc w:val="left"/>
            </w:pPr>
            <m:oMath>
              <m:r>
                <m:rPr>
                  <m:sty m:val="p"/>
                </m:rPr>
                <m:t>+</m:t>
              </m:r>
              <m:r>
                <m:t>13.5</m:t>
              </m:r>
              <m:r>
                <m:rPr>
                  <m:nor/>
                  <m:sty m:val="p"/>
                </m:rPr>
                <m:t> h</m:t>
              </m:r>
            </m:oMath>
            <w:r>
              <w:t xml:space="preserve">​</w:t>
            </w:r>
          </w:p>
        </w:tc>
        <w:tc>
          <w:tcPr/>
          <w:p>
            <w:pPr>
              <w:pStyle w:val="Compact"/>
              <w:jc w:val="left"/>
            </w:pPr>
            <m:oMath>
              <m:r>
                <m:rPr>
                  <m:sty m:val="p"/>
                </m:rPr>
                <m:t>−</m:t>
              </m:r>
              <m:r>
                <m:t>19.0</m:t>
              </m:r>
              <m:r>
                <m:rPr>
                  <m:sty m:val="p"/>
                </m:rPr>
                <m:t>%</m:t>
              </m:r>
            </m:oMath>
            <w:r>
              <w:t xml:space="preserve"> </w:t>
            </w:r>
            <w:r>
              <w:t xml:space="preserve">(fresh)</w:t>
            </w:r>
          </w:p>
        </w:tc>
      </w:tr>
      <w:tr>
        <w:tc>
          <w:tcPr/>
          <w:p>
            <w:pPr>
              <w:pStyle w:val="Compact"/>
              <w:jc w:val="left"/>
            </w:pPr>
            <w:r>
              <w:rPr>
                <w:b/>
                <w:bCs/>
              </w:rPr>
              <w:t xml:space="preserve">Belyavskaya (2001, 2004)</w:t>
            </w:r>
            <w:r>
              <w:t xml:space="preserve"> </w:t>
            </w:r>
            <w:r>
              <w:t xml:space="preserve">[26,38]</w:t>
            </w:r>
          </w:p>
        </w:tc>
        <w:tc>
          <w:tcPr/>
          <w:p>
            <w:pPr>
              <w:pStyle w:val="Compact"/>
              <w:jc w:val="left"/>
            </w:pPr>
            <w:r>
              <w:rPr>
                <w:i/>
                <w:iCs/>
              </w:rPr>
              <w:t xml:space="preserve">Pisum sativum</w:t>
            </w:r>
            <w:r>
              <w:t xml:space="preserve"> </w:t>
            </w:r>
            <w:r>
              <w:t xml:space="preserve">(pea cv. Uladovsky)</w:t>
            </w:r>
          </w:p>
        </w:tc>
        <w:tc>
          <w:tcPr/>
          <w:p>
            <w:pPr>
              <w:pStyle w:val="Compact"/>
              <w:jc w:val="left"/>
            </w:pPr>
            <m:oMath>
              <m:r>
                <m:rPr>
                  <m:sty m:val="p"/>
                </m:rPr>
                <m:t>&lt;</m:t>
              </m:r>
              <m:r>
                <m:t>50</m:t>
              </m:r>
              <m:r>
                <m:rPr>
                  <m:nor/>
                  <m:sty m:val="p"/>
                </m:rPr>
                <m:t> nT</m:t>
              </m:r>
            </m:oMath>
            <w:r>
              <w:t xml:space="preserve">​</w:t>
            </w:r>
          </w:p>
        </w:tc>
        <w:tc>
          <w:tcPr/>
          <w:p>
            <w:pPr>
              <w:pStyle w:val="Compact"/>
              <w:jc w:val="left"/>
            </w:pPr>
            <m:oMath>
              <m:r>
                <m:t>μ</m:t>
              </m:r>
            </m:oMath>
            <w:r>
              <w:t xml:space="preserve">-metal cylindrical shield</w:t>
            </w:r>
          </w:p>
        </w:tc>
        <w:tc>
          <w:tcPr/>
          <w:p>
            <w:pPr>
              <w:pStyle w:val="Compact"/>
              <w:jc w:val="left"/>
            </w:pPr>
            <w:r>
              <w:t xml:space="preserve">Unshielded room control (</w:t>
            </w:r>
            <m:oMath>
              <m:r>
                <m:t>46</m:t>
              </m:r>
              <m:r>
                <m:t> </m:t>
              </m:r>
              <m:r>
                <m:t>μ</m:t>
              </m:r>
              <m:r>
                <m:rPr>
                  <m:nor/>
                  <m:sty m:val="p"/>
                </m:rPr>
                <m:t>T</m:t>
              </m:r>
            </m:oMath>
            <w:r>
              <w:t xml:space="preserve">)</w:t>
            </w:r>
          </w:p>
        </w:tc>
        <w:tc>
          <w:tcPr/>
          <w:p>
            <w:pPr>
              <w:pStyle w:val="Compact"/>
              <w:jc w:val="left"/>
            </w:pPr>
            <m:oMath>
              <m:r>
                <m:t>N</m:t>
              </m:r>
              <m:r>
                <m:rPr>
                  <m:sty m:val="p"/>
                </m:rPr>
                <m:t>=</m:t>
              </m:r>
              <m:r>
                <m:t>80</m:t>
              </m:r>
            </m:oMath>
            <w:r>
              <w:t xml:space="preserve"> </w:t>
            </w:r>
            <w:r>
              <w:t xml:space="preserve">seeds</w:t>
            </w:r>
          </w:p>
        </w:tc>
        <w:tc>
          <w:tcPr/>
          <w:p>
            <w:pPr>
              <w:pStyle w:val="Compact"/>
              <w:jc w:val="left"/>
            </w:pPr>
            <m:oMath>
              <m:sSub>
                <m:e>
                  <m:r>
                    <m:t>M</m:t>
                  </m:r>
                </m:e>
                <m:sub>
                  <m:r>
                    <m:t>1</m:t>
                  </m:r>
                </m:sub>
              </m:sSub>
            </m:oMath>
            <w:r>
              <w:t xml:space="preserve"> </w:t>
            </w:r>
            <w:r>
              <w:t xml:space="preserve">(Testa rupture)</w:t>
            </w:r>
          </w:p>
        </w:tc>
        <w:tc>
          <w:tcPr/>
          <w:p>
            <w:pPr>
              <w:pStyle w:val="Compact"/>
              <w:jc w:val="left"/>
            </w:pPr>
            <m:oMath>
              <m:r>
                <m:rPr>
                  <m:sty m:val="p"/>
                </m:rPr>
                <m:t>−</m:t>
              </m:r>
              <m:r>
                <m:t>25.0</m:t>
              </m:r>
              <m:r>
                <m:rPr>
                  <m:sty m:val="p"/>
                </m:rPr>
                <m:t>%</m:t>
              </m:r>
            </m:oMath>
            <w:r>
              <w:t xml:space="preserve">​</w:t>
            </w:r>
          </w:p>
        </w:tc>
        <w:tc>
          <w:tcPr/>
          <w:p>
            <w:pPr>
              <w:pStyle w:val="Compact"/>
              <w:jc w:val="left"/>
            </w:pPr>
            <m:oMath>
              <m:r>
                <m:rPr>
                  <m:sty m:val="p"/>
                </m:rPr>
                <m:t>+</m:t>
              </m:r>
              <m:r>
                <m:t>22.0</m:t>
              </m:r>
              <m:r>
                <m:rPr>
                  <m:nor/>
                  <m:sty m:val="p"/>
                </m:rPr>
                <m:t> h</m:t>
              </m:r>
            </m:oMath>
            <w:r>
              <w:t xml:space="preserve">​</w:t>
            </w:r>
          </w:p>
        </w:tc>
        <w:tc>
          <w:tcPr/>
          <w:p>
            <w:pPr>
              <w:pStyle w:val="Compact"/>
              <w:jc w:val="left"/>
            </w:pPr>
            <m:oMath>
              <m:r>
                <m:rPr>
                  <m:sty m:val="p"/>
                </m:rPr>
                <m:t>−</m:t>
              </m:r>
              <m:r>
                <m:t>32.5</m:t>
              </m:r>
              <m:r>
                <m:rPr>
                  <m:sty m:val="p"/>
                </m:rPr>
                <m:t>%</m:t>
              </m:r>
            </m:oMath>
            <w:r>
              <w:t xml:space="preserve"> </w:t>
            </w:r>
            <w:r>
              <w:t xml:space="preserve">(dry)</w:t>
            </w:r>
          </w:p>
        </w:tc>
      </w:tr>
      <w:tr>
        <w:tc>
          <w:tcPr/>
          <w:p>
            <w:pPr>
              <w:pStyle w:val="Compact"/>
              <w:jc w:val="left"/>
            </w:pPr>
            <w:r>
              <w:rPr>
                <w:b/>
                <w:bCs/>
              </w:rPr>
              <w:t xml:space="preserve">Novitskii et al. (2014)</w:t>
            </w:r>
            <w:r>
              <w:t xml:space="preserve"> </w:t>
            </w:r>
            <w:r>
              <w:t xml:space="preserve">[27]</w:t>
            </w:r>
          </w:p>
        </w:tc>
        <w:tc>
          <w:tcPr/>
          <w:p>
            <w:pPr>
              <w:pStyle w:val="Compact"/>
              <w:jc w:val="left"/>
            </w:pPr>
            <w:r>
              <w:rPr>
                <w:i/>
                <w:iCs/>
              </w:rPr>
              <w:t xml:space="preserve">Raphanus sativus</w:t>
            </w:r>
            <w:r>
              <w:t xml:space="preserve"> </w:t>
            </w:r>
            <w:r>
              <w:t xml:space="preserve">(radish cv. Saxa)</w:t>
            </w:r>
          </w:p>
        </w:tc>
        <w:tc>
          <w:tcPr/>
          <w:p>
            <w:pPr>
              <w:pStyle w:val="Compact"/>
              <w:jc w:val="left"/>
            </w:pPr>
            <m:oMath>
              <m:r>
                <m:rPr>
                  <m:sty m:val="p"/>
                </m:rPr>
                <m:t>&lt;</m:t>
              </m:r>
              <m:r>
                <m:t>20</m:t>
              </m:r>
              <m:r>
                <m:rPr>
                  <m:nor/>
                  <m:sty m:val="p"/>
                </m:rPr>
                <m:t> nT</m:t>
              </m:r>
            </m:oMath>
            <w:r>
              <w:t xml:space="preserve">​</w:t>
            </w:r>
          </w:p>
        </w:tc>
        <w:tc>
          <w:tcPr/>
          <w:p>
            <w:pPr>
              <w:pStyle w:val="Compact"/>
              <w:jc w:val="left"/>
            </w:pPr>
            <w:r>
              <w:t xml:space="preserve">2-layer Permalloy chamber</w:t>
            </w:r>
          </w:p>
        </w:tc>
        <w:tc>
          <w:tcPr/>
          <w:p>
            <w:pPr>
              <w:pStyle w:val="Compact"/>
              <w:jc w:val="left"/>
            </w:pPr>
            <w:r>
              <w:t xml:space="preserve">Matched geomagnetic control (</w:t>
            </w:r>
            <m:oMath>
              <m:r>
                <m:t>47</m:t>
              </m:r>
              <m:r>
                <m:t> </m:t>
              </m:r>
              <m:r>
                <m:t>μ</m:t>
              </m:r>
              <m:r>
                <m:rPr>
                  <m:nor/>
                  <m:sty m:val="p"/>
                </m:rPr>
                <m:t>T</m:t>
              </m:r>
            </m:oMath>
            <w:r>
              <w:t xml:space="preserve">)</w:t>
            </w:r>
          </w:p>
        </w:tc>
        <w:tc>
          <w:tcPr/>
          <w:p>
            <w:pPr>
              <w:pStyle w:val="Compact"/>
              <w:jc w:val="left"/>
            </w:pPr>
            <m:oMath>
              <m:r>
                <m:t>N</m:t>
              </m:r>
              <m:r>
                <m:rPr>
                  <m:sty m:val="p"/>
                </m:rPr>
                <m:t>=</m:t>
              </m:r>
              <m:r>
                <m:t>100</m:t>
              </m:r>
            </m:oMath>
            <w:r>
              <w:t xml:space="preserve"> </w:t>
            </w:r>
            <w:r>
              <w:t xml:space="preserve">seeds</w:t>
            </w:r>
          </w:p>
        </w:tc>
        <w:tc>
          <w:tcPr/>
          <w:p>
            <w:pPr>
              <w:pStyle w:val="Compact"/>
              <w:jc w:val="left"/>
            </w:pPr>
            <m:oMath>
              <m:sSub>
                <m:e>
                  <m:r>
                    <m:t>M</m:t>
                  </m:r>
                </m:e>
                <m:sub>
                  <m:r>
                    <m:t>1</m:t>
                  </m:r>
                </m:sub>
              </m:sSub>
              <m:r>
                <m:rPr>
                  <m:sty m:val="p"/>
                </m:rPr>
                <m:t>/</m:t>
              </m:r>
              <m:sSub>
                <m:e>
                  <m:r>
                    <m:t>M</m:t>
                  </m:r>
                </m:e>
                <m:sub>
                  <m:r>
                    <m:t>2</m:t>
                  </m:r>
                </m:sub>
              </m:sSub>
            </m:oMath>
            <w:r>
              <w:t xml:space="preserve"> </w:t>
            </w:r>
            <w:r>
              <w:t xml:space="preserve">(Radicle emergence)</w:t>
            </w:r>
          </w:p>
        </w:tc>
        <w:tc>
          <w:tcPr/>
          <w:p>
            <w:pPr>
              <w:pStyle w:val="Compact"/>
              <w:jc w:val="left"/>
            </w:pPr>
            <m:oMath>
              <m:r>
                <m:rPr>
                  <m:sty m:val="p"/>
                </m:rPr>
                <m:t>−</m:t>
              </m:r>
              <m:r>
                <m:t>28.0</m:t>
              </m:r>
              <m:r>
                <m:rPr>
                  <m:sty m:val="p"/>
                </m:rPr>
                <m:t>%</m:t>
              </m:r>
            </m:oMath>
            <w:r>
              <w:t xml:space="preserve">​</w:t>
            </w:r>
          </w:p>
        </w:tc>
        <w:tc>
          <w:tcPr/>
          <w:p>
            <w:pPr>
              <w:pStyle w:val="Compact"/>
              <w:jc w:val="left"/>
            </w:pPr>
            <m:oMath>
              <m:r>
                <m:rPr>
                  <m:sty m:val="p"/>
                </m:rPr>
                <m:t>+</m:t>
              </m:r>
              <m:r>
                <m:t>26.0</m:t>
              </m:r>
              <m:r>
                <m:rPr>
                  <m:nor/>
                  <m:sty m:val="p"/>
                </m:rPr>
                <m:t> h</m:t>
              </m:r>
            </m:oMath>
            <w:r>
              <w:t xml:space="preserve">​</w:t>
            </w:r>
          </w:p>
        </w:tc>
        <w:tc>
          <w:tcPr/>
          <w:p>
            <w:pPr>
              <w:pStyle w:val="Compact"/>
              <w:jc w:val="left"/>
            </w:pPr>
            <m:oMath>
              <m:r>
                <m:rPr>
                  <m:sty m:val="p"/>
                </m:rPr>
                <m:t>−</m:t>
              </m:r>
              <m:r>
                <m:t>31.0</m:t>
              </m:r>
              <m:r>
                <m:rPr>
                  <m:sty m:val="p"/>
                </m:rPr>
                <m:t>%</m:t>
              </m:r>
            </m:oMath>
            <w:r>
              <w:t xml:space="preserve"> </w:t>
            </w:r>
            <w:r>
              <w:t xml:space="preserve">(fresh)</w:t>
            </w:r>
          </w:p>
        </w:tc>
      </w:tr>
      <w:tr>
        <w:tc>
          <w:tcPr/>
          <w:p>
            <w:pPr>
              <w:pStyle w:val="Compact"/>
              <w:jc w:val="left"/>
            </w:pPr>
            <w:r>
              <w:rPr>
                <w:b/>
                <w:bCs/>
              </w:rPr>
              <w:t xml:space="preserve">Narayana et al. (2018)</w:t>
            </w:r>
            <w:r>
              <w:t xml:space="preserve"> </w:t>
            </w:r>
            <w:r>
              <w:t xml:space="preserve">[37]</w:t>
            </w:r>
          </w:p>
        </w:tc>
        <w:tc>
          <w:tcPr/>
          <w:p>
            <w:pPr>
              <w:pStyle w:val="Compact"/>
              <w:jc w:val="left"/>
            </w:pPr>
            <w:r>
              <w:rPr>
                <w:i/>
                <w:iCs/>
              </w:rPr>
              <w:t xml:space="preserve">Arabidopsis thaliana</w:t>
            </w:r>
            <w:r>
              <w:t xml:space="preserve"> </w:t>
            </w:r>
            <w:r>
              <w:t xml:space="preserve">(Col-0)</w:t>
            </w:r>
          </w:p>
        </w:tc>
        <w:tc>
          <w:tcPr/>
          <w:p>
            <w:pPr>
              <w:pStyle w:val="Compact"/>
              <w:jc w:val="left"/>
            </w:pPr>
            <m:oMath>
              <m:r>
                <m:rPr>
                  <m:sty m:val="p"/>
                </m:rPr>
                <m:t>&lt;</m:t>
              </m:r>
              <m:r>
                <m:t>10</m:t>
              </m:r>
              <m:r>
                <m:rPr>
                  <m:nor/>
                  <m:sty m:val="p"/>
                </m:rPr>
                <m:t> nT</m:t>
              </m:r>
            </m:oMath>
            <w:r>
              <w:t xml:space="preserve">​</w:t>
            </w:r>
          </w:p>
        </w:tc>
        <w:tc>
          <w:tcPr/>
          <w:p>
            <w:pPr>
              <w:pStyle w:val="Compact"/>
              <w:jc w:val="left"/>
            </w:pPr>
            <w:r>
              <w:t xml:space="preserve">Helmholtz cancellation system</w:t>
            </w:r>
          </w:p>
        </w:tc>
        <w:tc>
          <w:tcPr/>
          <w:p>
            <w:pPr>
              <w:pStyle w:val="Compact"/>
              <w:jc w:val="left"/>
            </w:pPr>
            <w:r>
              <w:t xml:space="preserve">Matched GMF control (</w:t>
            </w:r>
            <m:oMath>
              <m:r>
                <m:t>45</m:t>
              </m:r>
              <m:r>
                <m:t> </m:t>
              </m:r>
              <m:r>
                <m:t>μ</m:t>
              </m:r>
              <m:r>
                <m:rPr>
                  <m:nor/>
                  <m:sty m:val="p"/>
                </m:rPr>
                <m:t>T</m:t>
              </m:r>
            </m:oMath>
            <w:r>
              <w:t xml:space="preserve">)</w:t>
            </w:r>
          </w:p>
        </w:tc>
        <w:tc>
          <w:tcPr/>
          <w:p>
            <w:pPr>
              <w:pStyle w:val="Compact"/>
              <w:jc w:val="left"/>
            </w:pPr>
            <m:oMath>
              <m:r>
                <m:t>N</m:t>
              </m:r>
              <m:r>
                <m:rPr>
                  <m:sty m:val="p"/>
                </m:rPr>
                <m:t>=</m:t>
              </m:r>
              <m:r>
                <m:t>150</m:t>
              </m:r>
            </m:oMath>
            <w:r>
              <w:t xml:space="preserve"> </w:t>
            </w:r>
            <w:r>
              <w:t xml:space="preserve">seeds</w:t>
            </w:r>
          </w:p>
        </w:tc>
        <w:tc>
          <w:tcPr/>
          <w:p>
            <w:pPr>
              <w:pStyle w:val="Compact"/>
              <w:jc w:val="left"/>
            </w:pPr>
            <m:oMath>
              <m:sSub>
                <m:e>
                  <m:r>
                    <m:t>M</m:t>
                  </m:r>
                </m:e>
                <m:sub>
                  <m:r>
                    <m:t>2</m:t>
                  </m:r>
                </m:sub>
              </m:sSub>
            </m:oMath>
            <w:r>
              <w:t xml:space="preserve"> </w:t>
            </w:r>
            <w:r>
              <w:t xml:space="preserve">(Radicle emergence)</w:t>
            </w:r>
          </w:p>
        </w:tc>
        <w:tc>
          <w:tcPr/>
          <w:p>
            <w:pPr>
              <w:pStyle w:val="Compact"/>
              <w:jc w:val="left"/>
            </w:pPr>
            <m:oMath>
              <m:r>
                <m:rPr>
                  <m:sty m:val="p"/>
                </m:rPr>
                <m:t>−</m:t>
              </m:r>
              <m:r>
                <m:t>14.0</m:t>
              </m:r>
              <m:r>
                <m:rPr>
                  <m:sty m:val="p"/>
                </m:rPr>
                <m:t>%</m:t>
              </m:r>
            </m:oMath>
            <w:r>
              <w:t xml:space="preserve">​</w:t>
            </w:r>
          </w:p>
        </w:tc>
        <w:tc>
          <w:tcPr/>
          <w:p>
            <w:pPr>
              <w:pStyle w:val="Compact"/>
              <w:jc w:val="left"/>
            </w:pPr>
            <m:oMath>
              <m:r>
                <m:rPr>
                  <m:sty m:val="p"/>
                </m:rPr>
                <m:t>+</m:t>
              </m:r>
              <m:r>
                <m:t>15.0</m:t>
              </m:r>
              <m:r>
                <m:rPr>
                  <m:nor/>
                  <m:sty m:val="p"/>
                </m:rPr>
                <m:t> h</m:t>
              </m:r>
            </m:oMath>
            <w:r>
              <w:t xml:space="preserve">​</w:t>
            </w:r>
          </w:p>
        </w:tc>
        <w:tc>
          <w:tcPr/>
          <w:p>
            <w:pPr>
              <w:pStyle w:val="Compact"/>
              <w:jc w:val="left"/>
            </w:pPr>
            <m:oMath>
              <m:r>
                <m:rPr>
                  <m:sty m:val="p"/>
                </m:rPr>
                <m:t>−</m:t>
              </m:r>
              <m:r>
                <m:t>26.0</m:t>
              </m:r>
              <m:r>
                <m:rPr>
                  <m:sty m:val="p"/>
                </m:rPr>
                <m:t>%</m:t>
              </m:r>
            </m:oMath>
            <w:r>
              <w:t xml:space="preserve"> </w:t>
            </w:r>
            <w:r>
              <w:t xml:space="preserve">(dry)</w:t>
            </w:r>
          </w:p>
        </w:tc>
      </w:tr>
      <w:tr>
        <w:tc>
          <w:tcPr/>
          <w:p>
            <w:pPr>
              <w:pStyle w:val="Compact"/>
              <w:jc w:val="left"/>
            </w:pPr>
            <w:r>
              <w:rPr>
                <w:b/>
                <w:bCs/>
              </w:rPr>
              <w:t xml:space="preserve">Islam et al. (2020)</w:t>
            </w:r>
            <w:r>
              <w:t xml:space="preserve"> </w:t>
            </w:r>
            <w:r>
              <w:t xml:space="preserve">[53]</w:t>
            </w:r>
          </w:p>
        </w:tc>
        <w:tc>
          <w:tcPr/>
          <w:p>
            <w:pPr>
              <w:pStyle w:val="Compact"/>
              <w:jc w:val="left"/>
            </w:pPr>
            <w:r>
              <w:rPr>
                <w:i/>
                <w:iCs/>
              </w:rPr>
              <w:t xml:space="preserve">Arabidopsis thaliana</w:t>
            </w:r>
            <w:r>
              <w:t xml:space="preserve"> </w:t>
            </w:r>
            <w:r>
              <w:t xml:space="preserve">(Col-0)</w:t>
            </w:r>
          </w:p>
        </w:tc>
        <w:tc>
          <w:tcPr/>
          <w:p>
            <w:pPr>
              <w:pStyle w:val="Compact"/>
              <w:jc w:val="left"/>
            </w:pPr>
            <m:oMath>
              <m:r>
                <m:rPr>
                  <m:sty m:val="p"/>
                </m:rPr>
                <m:t>&lt;</m:t>
              </m:r>
              <m:r>
                <m:t>30</m:t>
              </m:r>
              <m:r>
                <m:rPr>
                  <m:nor/>
                  <m:sty m:val="p"/>
                </m:rPr>
                <m:t> nT</m:t>
              </m:r>
            </m:oMath>
            <w:r>
              <w:t xml:space="preserve">​</w:t>
            </w:r>
          </w:p>
        </w:tc>
        <w:tc>
          <w:tcPr/>
          <w:p>
            <w:pPr>
              <w:pStyle w:val="Compact"/>
              <w:jc w:val="left"/>
            </w:pPr>
            <w:r>
              <w:t xml:space="preserve">Triaxial Helmholtz cage</w:t>
            </w:r>
          </w:p>
        </w:tc>
        <w:tc>
          <w:tcPr/>
          <w:p>
            <w:pPr>
              <w:pStyle w:val="Compact"/>
              <w:jc w:val="left"/>
            </w:pPr>
            <w:r>
              <w:t xml:space="preserve">Matched GMF control (</w:t>
            </w:r>
            <m:oMath>
              <m:r>
                <m:t>45</m:t>
              </m:r>
              <m:r>
                <m:t> </m:t>
              </m:r>
              <m:r>
                <m:t>μ</m:t>
              </m:r>
              <m:r>
                <m:rPr>
                  <m:nor/>
                  <m:sty m:val="p"/>
                </m:rPr>
                <m:t>T</m:t>
              </m:r>
            </m:oMath>
            <w:r>
              <w:t xml:space="preserve">)</w:t>
            </w:r>
          </w:p>
        </w:tc>
        <w:tc>
          <w:tcPr/>
          <w:p>
            <w:pPr>
              <w:pStyle w:val="Compact"/>
              <w:jc w:val="left"/>
            </w:pPr>
            <m:oMath>
              <m:r>
                <m:t>N</m:t>
              </m:r>
              <m:r>
                <m:rPr>
                  <m:sty m:val="p"/>
                </m:rPr>
                <m:t>=</m:t>
              </m:r>
              <m:r>
                <m:t>120</m:t>
              </m:r>
            </m:oMath>
            <w:r>
              <w:t xml:space="preserve"> </w:t>
            </w:r>
            <w:r>
              <w:t xml:space="preserve">seeds</w:t>
            </w:r>
          </w:p>
        </w:tc>
        <w:tc>
          <w:tcPr/>
          <w:p>
            <w:pPr>
              <w:pStyle w:val="Compact"/>
              <w:jc w:val="left"/>
            </w:pPr>
            <m:oMath>
              <m:sSub>
                <m:e>
                  <m:r>
                    <m:t>M</m:t>
                  </m:r>
                </m:e>
                <m:sub>
                  <m:r>
                    <m:t>2</m:t>
                  </m:r>
                </m:sub>
              </m:sSub>
              <m:r>
                <m:rPr>
                  <m:sty m:val="p"/>
                </m:rPr>
                <m:t>/</m:t>
              </m:r>
              <m:sSub>
                <m:e>
                  <m:r>
                    <m:t>M</m:t>
                  </m:r>
                </m:e>
                <m:sub>
                  <m:r>
                    <m:t>3</m:t>
                  </m:r>
                </m:sub>
              </m:sSub>
            </m:oMath>
            <w:r>
              <w:t xml:space="preserve"> </w:t>
            </w:r>
            <w:r>
              <w:t xml:space="preserve">(Cotyledons)</w:t>
            </w:r>
          </w:p>
        </w:tc>
        <w:tc>
          <w:tcPr/>
          <w:p>
            <w:pPr>
              <w:pStyle w:val="Compact"/>
              <w:jc w:val="left"/>
            </w:pPr>
            <m:oMath>
              <m:r>
                <m:rPr>
                  <m:sty m:val="p"/>
                </m:rPr>
                <m:t>−</m:t>
              </m:r>
              <m:r>
                <m:t>16.5</m:t>
              </m:r>
              <m:r>
                <m:rPr>
                  <m:sty m:val="p"/>
                </m:rPr>
                <m:t>%</m:t>
              </m:r>
            </m:oMath>
            <w:r>
              <w:t xml:space="preserve">​</w:t>
            </w:r>
          </w:p>
        </w:tc>
        <w:tc>
          <w:tcPr/>
          <w:p>
            <w:pPr>
              <w:pStyle w:val="Compact"/>
              <w:jc w:val="left"/>
            </w:pPr>
            <m:oMath>
              <m:r>
                <m:rPr>
                  <m:sty m:val="p"/>
                </m:rPr>
                <m:t>+</m:t>
              </m:r>
              <m:r>
                <m:t>14.0</m:t>
              </m:r>
              <m:r>
                <m:rPr>
                  <m:nor/>
                  <m:sty m:val="p"/>
                </m:rPr>
                <m:t> h</m:t>
              </m:r>
            </m:oMath>
            <w:r>
              <w:t xml:space="preserve">​</w:t>
            </w:r>
          </w:p>
        </w:tc>
        <w:tc>
          <w:tcPr/>
          <w:p>
            <w:pPr>
              <w:pStyle w:val="Compact"/>
              <w:jc w:val="left"/>
            </w:pPr>
            <m:oMath>
              <m:r>
                <m:rPr>
                  <m:sty m:val="p"/>
                </m:rPr>
                <m:t>−</m:t>
              </m:r>
              <m:r>
                <m:t>27.5</m:t>
              </m:r>
              <m:r>
                <m:rPr>
                  <m:sty m:val="p"/>
                </m:rPr>
                <m:t>%</m:t>
              </m:r>
            </m:oMath>
            <w:r>
              <w:t xml:space="preserve"> </w:t>
            </w:r>
            <w:r>
              <w:t xml:space="preserve">(fresh)</w:t>
            </w:r>
          </w:p>
        </w:tc>
      </w:tr>
      <w:tr>
        <w:tc>
          <w:tcPr/>
          <w:p>
            <w:pPr>
              <w:pStyle w:val="Compact"/>
              <w:jc w:val="left"/>
            </w:pPr>
            <w:r>
              <w:rPr>
                <w:b/>
                <w:bCs/>
              </w:rPr>
              <w:t xml:space="preserve">Fiorillo et al. (2023)</w:t>
            </w:r>
            <w:r>
              <w:t xml:space="preserve"> </w:t>
            </w:r>
            <w:r>
              <w:t xml:space="preserve">[39]</w:t>
            </w:r>
          </w:p>
        </w:tc>
        <w:tc>
          <w:tcPr/>
          <w:p>
            <w:pPr>
              <w:pStyle w:val="Compact"/>
              <w:jc w:val="left"/>
            </w:pPr>
            <w:r>
              <w:rPr>
                <w:i/>
                <w:iCs/>
              </w:rPr>
              <w:t xml:space="preserve">Zea mays</w:t>
            </w:r>
            <w:r>
              <w:t xml:space="preserve"> </w:t>
            </w:r>
            <w:r>
              <w:t xml:space="preserve">(maize cv. PR32W86)</w:t>
            </w:r>
          </w:p>
        </w:tc>
        <w:tc>
          <w:tcPr/>
          <w:p>
            <w:pPr>
              <w:pStyle w:val="Compact"/>
              <w:jc w:val="left"/>
            </w:pPr>
            <m:oMath>
              <m:r>
                <m:rPr>
                  <m:sty m:val="p"/>
                </m:rPr>
                <m:t>&lt;</m:t>
              </m:r>
              <m:r>
                <m:t>10</m:t>
              </m:r>
              <m:r>
                <m:rPr>
                  <m:nor/>
                  <m:sty m:val="p"/>
                </m:rPr>
                <m:t> nT</m:t>
              </m:r>
            </m:oMath>
            <w:r>
              <w:t xml:space="preserve">​</w:t>
            </w:r>
          </w:p>
        </w:tc>
        <w:tc>
          <w:tcPr/>
          <w:p>
            <w:pPr>
              <w:pStyle w:val="Compact"/>
              <w:jc w:val="left"/>
            </w:pPr>
            <w:r>
              <w:t xml:space="preserve">Triaxial Helmholtz coils</w:t>
            </w:r>
          </w:p>
        </w:tc>
        <w:tc>
          <w:tcPr/>
          <w:p>
            <w:pPr>
              <w:pStyle w:val="Compact"/>
              <w:jc w:val="left"/>
            </w:pPr>
            <w:r>
              <w:t xml:space="preserve">Local GMF control (</w:t>
            </w:r>
            <m:oMath>
              <m:r>
                <m:t>46</m:t>
              </m:r>
              <m:r>
                <m:t> </m:t>
              </m:r>
              <m:r>
                <m:t>μ</m:t>
              </m:r>
              <m:r>
                <m:rPr>
                  <m:nor/>
                  <m:sty m:val="p"/>
                </m:rPr>
                <m:t>T</m:t>
              </m:r>
            </m:oMath>
            <w:r>
              <w:t xml:space="preserve">)</w:t>
            </w:r>
          </w:p>
        </w:tc>
        <w:tc>
          <w:tcPr/>
          <w:p>
            <w:pPr>
              <w:pStyle w:val="Compact"/>
              <w:jc w:val="left"/>
            </w:pPr>
            <m:oMath>
              <m:r>
                <m:t>N</m:t>
              </m:r>
              <m:r>
                <m:rPr>
                  <m:sty m:val="p"/>
                </m:rPr>
                <m:t>=</m:t>
              </m:r>
              <m:r>
                <m:t>75</m:t>
              </m:r>
            </m:oMath>
            <w:r>
              <w:t xml:space="preserve"> </w:t>
            </w:r>
            <w:r>
              <w:t xml:space="preserve">kernels</w:t>
            </w:r>
          </w:p>
        </w:tc>
        <w:tc>
          <w:tcPr/>
          <w:p>
            <w:pPr>
              <w:pStyle w:val="Compact"/>
              <w:jc w:val="left"/>
            </w:pPr>
            <m:oMath>
              <m:sSub>
                <m:e>
                  <m:r>
                    <m:t>M</m:t>
                  </m:r>
                </m:e>
                <m:sub>
                  <m:r>
                    <m:t>1</m:t>
                  </m:r>
                </m:sub>
              </m:sSub>
              <m:r>
                <m:rPr>
                  <m:sty m:val="p"/>
                </m:rPr>
                <m:t>/</m:t>
              </m:r>
              <m:sSub>
                <m:e>
                  <m:r>
                    <m:t>M</m:t>
                  </m:r>
                </m:e>
                <m:sub>
                  <m:r>
                    <m:t>2</m:t>
                  </m:r>
                </m:sub>
              </m:sSub>
            </m:oMath>
            <w:r>
              <w:t xml:space="preserve"> </w:t>
            </w:r>
            <w:r>
              <w:t xml:space="preserve">(Coleoptile)</w:t>
            </w:r>
          </w:p>
        </w:tc>
        <w:tc>
          <w:tcPr/>
          <w:p>
            <w:pPr>
              <w:pStyle w:val="Compact"/>
              <w:jc w:val="left"/>
            </w:pPr>
            <m:oMath>
              <m:r>
                <m:rPr>
                  <m:sty m:val="p"/>
                </m:rPr>
                <m:t>−</m:t>
              </m:r>
              <m:r>
                <m:t>19.0</m:t>
              </m:r>
              <m:r>
                <m:rPr>
                  <m:sty m:val="p"/>
                </m:rPr>
                <m:t>%</m:t>
              </m:r>
            </m:oMath>
            <w:r>
              <w:t xml:space="preserve">​</w:t>
            </w:r>
          </w:p>
        </w:tc>
        <w:tc>
          <w:tcPr/>
          <w:p>
            <w:pPr>
              <w:pStyle w:val="Compact"/>
              <w:jc w:val="left"/>
            </w:pPr>
            <m:oMath>
              <m:r>
                <m:rPr>
                  <m:sty m:val="p"/>
                </m:rPr>
                <m:t>+</m:t>
              </m:r>
              <m:r>
                <m:t>16.0</m:t>
              </m:r>
              <m:r>
                <m:rPr>
                  <m:nor/>
                  <m:sty m:val="p"/>
                </m:rPr>
                <m:t> h</m:t>
              </m:r>
            </m:oMath>
            <w:r>
              <w:t xml:space="preserve">​</w:t>
            </w:r>
          </w:p>
        </w:tc>
        <w:tc>
          <w:tcPr/>
          <w:p>
            <w:pPr>
              <w:pStyle w:val="Compact"/>
              <w:jc w:val="left"/>
            </w:pPr>
            <m:oMath>
              <m:r>
                <m:rPr>
                  <m:sty m:val="p"/>
                </m:rPr>
                <m:t>−</m:t>
              </m:r>
              <m:r>
                <m:t>25.5</m:t>
              </m:r>
              <m:r>
                <m:rPr>
                  <m:sty m:val="p"/>
                </m:rPr>
                <m:t>%</m:t>
              </m:r>
            </m:oMath>
            <w:r>
              <w:t xml:space="preserve"> </w:t>
            </w:r>
            <w:r>
              <w:t xml:space="preserve">(fresh)</w:t>
            </w:r>
          </w:p>
        </w:tc>
      </w:tr>
      <w:tr>
        <w:tc>
          <w:tcPr/>
          <w:p>
            <w:pPr>
              <w:pStyle w:val="Compact"/>
              <w:jc w:val="left"/>
            </w:pPr>
            <w:r>
              <w:rPr>
                <w:b/>
                <w:bCs/>
              </w:rPr>
              <w:t xml:space="preserve">Parmagnani et al. (2023)</w:t>
            </w:r>
            <w:r>
              <w:t xml:space="preserve"> </w:t>
            </w:r>
            <w:r>
              <w:t xml:space="preserve">[44]</w:t>
            </w:r>
          </w:p>
        </w:tc>
        <w:tc>
          <w:tcPr/>
          <w:p>
            <w:pPr>
              <w:pStyle w:val="Compact"/>
              <w:jc w:val="left"/>
            </w:pPr>
            <w:r>
              <w:rPr>
                <w:i/>
                <w:iCs/>
              </w:rPr>
              <w:t xml:space="preserve">Phaseolus lunatus</w:t>
            </w:r>
            <w:r>
              <w:t xml:space="preserve"> </w:t>
            </w:r>
            <w:r>
              <w:t xml:space="preserve">(Lima bean)</w:t>
            </w:r>
          </w:p>
        </w:tc>
        <w:tc>
          <w:tcPr/>
          <w:p>
            <w:pPr>
              <w:pStyle w:val="Compact"/>
              <w:jc w:val="left"/>
            </w:pPr>
            <m:oMath>
              <m:r>
                <m:rPr>
                  <m:sty m:val="p"/>
                </m:rPr>
                <m:t>&lt;</m:t>
              </m:r>
              <m:r>
                <m:t>30</m:t>
              </m:r>
              <m:r>
                <m:rPr>
                  <m:nor/>
                  <m:sty m:val="p"/>
                </m:rPr>
                <m:t> nT</m:t>
              </m:r>
            </m:oMath>
            <w:r>
              <w:t xml:space="preserve">​</w:t>
            </w:r>
          </w:p>
        </w:tc>
        <w:tc>
          <w:tcPr/>
          <w:p>
            <w:pPr>
              <w:pStyle w:val="Compact"/>
              <w:jc w:val="left"/>
            </w:pPr>
            <w:r>
              <w:t xml:space="preserve">3-axis Helmholtz cancellation</w:t>
            </w:r>
          </w:p>
        </w:tc>
        <w:tc>
          <w:tcPr/>
          <w:p>
            <w:pPr>
              <w:pStyle w:val="Compact"/>
              <w:jc w:val="left"/>
            </w:pPr>
            <w:r>
              <w:t xml:space="preserve">Ambient GMF control (</w:t>
            </w:r>
            <m:oMath>
              <m:r>
                <m:t>44</m:t>
              </m:r>
              <m:r>
                <m:t> </m:t>
              </m:r>
              <m:r>
                <m:t>μ</m:t>
              </m:r>
              <m:r>
                <m:rPr>
                  <m:nor/>
                  <m:sty m:val="p"/>
                </m:rPr>
                <m:t>T</m:t>
              </m:r>
            </m:oMath>
            <w:r>
              <w:t xml:space="preserve">)</w:t>
            </w:r>
          </w:p>
        </w:tc>
        <w:tc>
          <w:tcPr/>
          <w:p>
            <w:pPr>
              <w:pStyle w:val="Compact"/>
              <w:jc w:val="left"/>
            </w:pPr>
            <m:oMath>
              <m:r>
                <m:t>N</m:t>
              </m:r>
              <m:r>
                <m:rPr>
                  <m:sty m:val="p"/>
                </m:rPr>
                <m:t>=</m:t>
              </m:r>
              <m:r>
                <m:t>60</m:t>
              </m:r>
            </m:oMath>
            <w:r>
              <w:t xml:space="preserve"> </w:t>
            </w:r>
            <w:r>
              <w:t xml:space="preserve">seeds</w:t>
            </w:r>
          </w:p>
        </w:tc>
        <w:tc>
          <w:tcPr/>
          <w:p>
            <w:pPr>
              <w:pStyle w:val="Compact"/>
              <w:jc w:val="left"/>
            </w:pPr>
            <m:oMath>
              <m:sSub>
                <m:e>
                  <m:r>
                    <m:t>M</m:t>
                  </m:r>
                </m:e>
                <m:sub>
                  <m:r>
                    <m:t>3</m:t>
                  </m:r>
                </m:sub>
              </m:sSub>
            </m:oMath>
            <w:r>
              <w:t xml:space="preserve"> </w:t>
            </w:r>
            <w:r>
              <w:t xml:space="preserve">(Unfolded leaves)</w:t>
            </w:r>
          </w:p>
        </w:tc>
        <w:tc>
          <w:tcPr/>
          <w:p>
            <w:pPr>
              <w:pStyle w:val="Compact"/>
              <w:jc w:val="left"/>
            </w:pPr>
            <m:oMath>
              <m:r>
                <m:rPr>
                  <m:sty m:val="p"/>
                </m:rPr>
                <m:t>−</m:t>
              </m:r>
              <m:r>
                <m:t>10.0</m:t>
              </m:r>
              <m:r>
                <m:rPr>
                  <m:sty m:val="p"/>
                </m:rPr>
                <m:t>%</m:t>
              </m:r>
            </m:oMath>
            <w:r>
              <w:t xml:space="preserve">​</w:t>
            </w:r>
          </w:p>
        </w:tc>
        <w:tc>
          <w:tcPr/>
          <w:p>
            <w:pPr>
              <w:pStyle w:val="Compact"/>
              <w:jc w:val="left"/>
            </w:pPr>
            <m:oMath>
              <m:r>
                <m:rPr>
                  <m:sty m:val="p"/>
                </m:rPr>
                <m:t>+</m:t>
              </m:r>
              <m:r>
                <m:t>11.0</m:t>
              </m:r>
              <m:r>
                <m:rPr>
                  <m:nor/>
                  <m:sty m:val="p"/>
                </m:rPr>
                <m:t> h</m:t>
              </m:r>
            </m:oMath>
            <w:r>
              <w:t xml:space="preserve">​</w:t>
            </w:r>
          </w:p>
        </w:tc>
        <w:tc>
          <w:tcPr/>
          <w:p>
            <w:pPr>
              <w:pStyle w:val="Compact"/>
              <w:jc w:val="left"/>
            </w:pPr>
            <m:oMath>
              <m:r>
                <m:rPr>
                  <m:sty m:val="p"/>
                </m:rPr>
                <m:t>−</m:t>
              </m:r>
              <m:r>
                <m:t>30.0</m:t>
              </m:r>
              <m:r>
                <m:rPr>
                  <m:sty m:val="p"/>
                </m:rPr>
                <m:t>%</m:t>
              </m:r>
            </m:oMath>
            <w:r>
              <w:t xml:space="preserve"> </w:t>
            </w:r>
            <w:r>
              <w:t xml:space="preserve">(fresh)</w:t>
            </w:r>
          </w:p>
        </w:tc>
      </w:tr>
    </w:tbl>
    <w:bookmarkEnd w:id="30"/>
    <w:bookmarkStart w:id="31" w:name="X453e2c658e5a88c70a169b0436737e17edbbb3c"/>
    <w:p>
      <w:pPr>
        <w:pStyle w:val="Heading3"/>
      </w:pPr>
      <w:r>
        <w:t xml:space="preserve">3.2 Emergence Velocity (</w:t>
      </w:r>
      <m:oMath>
        <m:sSub>
          <m:e>
            <m:r>
              <m:t>t</m:t>
            </m:r>
          </m:e>
          <m:sub>
            <m:r>
              <m:t>50</m:t>
            </m:r>
          </m:sub>
        </m:sSub>
      </m:oMath>
      <w:r>
        <w:t xml:space="preserve">) and Biomass Penalty Normalization (HPE vs. HPI)</w:t>
      </w:r>
    </w:p>
    <w:p>
      <w:pPr>
        <w:pStyle w:val="FirstParagraph"/>
      </w:pPr>
      <w:r>
        <w:t xml:space="preserve">A pivotal methodological question in evaluating early seedling vigor is how biomass penalties are calculated. When evaluating growth at Day 5 post-imbibition (120 Hours Post-Imbibition, HPI), seedlings under near-null magnetic fields exhibit an average</w:t>
      </w:r>
      <w:r>
        <w:t xml:space="preserve"> </w:t>
      </w:r>
      <m:oMath>
        <m:r>
          <m:rPr>
            <m:sty m:val="p"/>
          </m:rPr>
          <m:t>−</m:t>
        </m:r>
        <m:r>
          <m:t>28.5</m:t>
        </m:r>
        <m:r>
          <m:rPr>
            <m:sty m:val="p"/>
          </m:rPr>
          <m:t>%</m:t>
        </m:r>
      </m:oMath>
      <w:r>
        <w:rPr>
          <w:b/>
          <w:bCs/>
        </w:rPr>
        <w:t xml:space="preserve"> </w:t>
      </w:r>
      <w:r>
        <w:rPr>
          <w:b/>
          <w:bCs/>
        </w:rPr>
        <w:t xml:space="preserve">biomass penalty</w:t>
      </w:r>
      <w:r>
        <w:t xml:space="preserve"> </w:t>
      </w:r>
      <w:r>
        <w:t xml:space="preserve">(synthesized across the 10 datasets in Table 3; Figure 3c).</w:t>
      </w:r>
    </w:p>
    <w:p>
      <w:pPr>
        <w:pStyle w:val="BodyText"/>
      </w:pPr>
      <w:r>
        <w:t xml:space="preserve">Biophysically, this penalty reflects two distinct, compounding components:</w:t>
      </w:r>
      <w:r>
        <w:t xml:space="preserve"> </w:t>
      </w:r>
      <w:r>
        <w:t xml:space="preserve">1.</w:t>
      </w:r>
      <w:r>
        <w:t xml:space="preserve"> </w:t>
      </w:r>
      <w:r>
        <w:rPr>
          <w:b/>
          <w:bCs/>
        </w:rPr>
        <w:t xml:space="preserve">The Emergence Delay (</w:t>
      </w:r>
      <m:oMath>
        <m:r>
          <m:rPr>
            <m:sty m:val="p"/>
          </m:rPr>
          <m:t>Δ</m:t>
        </m:r>
        <m:sSub>
          <m:e>
            <m:r>
              <m:t>t</m:t>
            </m:r>
          </m:e>
          <m:sub>
            <m:r>
              <m:t>50</m:t>
            </m:r>
          </m:sub>
        </m:sSub>
        <m:r>
          <m:rPr>
            <m:sty m:val="p"/>
          </m:rPr>
          <m:t>=</m:t>
        </m:r>
        <m:r>
          <m:rPr>
            <m:sty m:val="p"/>
          </m:rPr>
          <m:t>+</m:t>
        </m:r>
        <m:r>
          <m:t>12</m:t>
        </m:r>
        <m:r>
          <m:rPr>
            <m:nor/>
            <m:sty m:val="p"/>
          </m:rPr>
          <m:t> to </m:t>
        </m:r>
        <m:r>
          <m:t>36</m:t>
        </m:r>
        <m:r>
          <m:rPr>
            <m:nor/>
            <m:sty m:val="p"/>
          </m:rPr>
          <m:t> h</m:t>
        </m:r>
      </m:oMath>
      <w:r>
        <w:rPr>
          <w:b/>
          <w:bCs/>
        </w:rPr>
        <w:t xml:space="preserve">):</w:t>
      </w:r>
      <w:r>
        <w:t xml:space="preserve"> </w:t>
      </w:r>
      <w:r>
        <w:t xml:space="preserve">Because hypomagnetic seedlings take 12 to 36 hours longer to complete radicle emergence (</w:t>
      </w:r>
      <m:oMath>
        <m:sSub>
          <m:e>
            <m:r>
              <m:t>M</m:t>
            </m:r>
          </m:e>
          <m:sub>
            <m:r>
              <m:t>2</m:t>
            </m:r>
          </m:sub>
        </m:sSub>
      </m:oMath>
      <w:r>
        <w:t xml:space="preserve">), they have had 12 to 36 fewer hours of active post-emergence vegetative elongation by 120 HPI. In fast-growing angiosperms, where early vegetative biomass increases exponentially, a 16-hour emergence lag alone accounts for an apparent</w:t>
      </w:r>
      <w:r>
        <w:t xml:space="preserve"> </w:t>
      </w:r>
      <m:oMath>
        <m:r>
          <m:rPr>
            <m:sty m:val="p"/>
          </m:rPr>
          <m:t>∼</m:t>
        </m:r>
        <m:r>
          <m:t>15</m:t>
        </m:r>
        <m:r>
          <m:rPr>
            <m:nor/>
            <m:sty m:val="p"/>
          </m:rPr>
          <m:t>–</m:t>
        </m:r>
        <m:r>
          <m:t>20</m:t>
        </m:r>
        <m:r>
          <m:rPr>
            <m:sty m:val="p"/>
          </m:rPr>
          <m:t>%</m:t>
        </m:r>
      </m:oMath>
      <w:r>
        <w:t xml:space="preserve"> </w:t>
      </w:r>
      <w:r>
        <w:t xml:space="preserve">biomass reduction at Day 5.</w:t>
      </w:r>
      <w:r>
        <w:t xml:space="preserve"> </w:t>
      </w:r>
      <w:r>
        <w:t xml:space="preserve">2.</w:t>
      </w:r>
      <w:r>
        <w:t xml:space="preserve"> </w:t>
      </w:r>
      <w:r>
        <w:rPr>
          <w:b/>
          <w:bCs/>
        </w:rPr>
        <w:t xml:space="preserve">Post-Emergence Elongation Retardation (Hours Post-Emergence, HPE):</w:t>
      </w:r>
      <w:r>
        <w:t xml:space="preserve"> </w:t>
      </w:r>
      <w:r>
        <w:t xml:space="preserve">When growth is normalized by developmental stage (i.e., comparing seedlings at identical hours post-emergence, HPE), primary root and hypocotyl elongation rates in</w:t>
      </w:r>
      <w:r>
        <w:t xml:space="preserve"> </w:t>
      </w:r>
      <w:r>
        <w:rPr>
          <w:i/>
          <w:iCs/>
        </w:rPr>
        <w:t xml:space="preserve">Arabidopsis</w:t>
      </w:r>
      <w:r>
        <w:t xml:space="preserve">, pea, and maize remain depressed by</w:t>
      </w:r>
      <w:r>
        <w:t xml:space="preserve"> </w:t>
      </w:r>
      <m:oMath>
        <m:r>
          <m:t>10</m:t>
        </m:r>
        <m:r>
          <m:rPr>
            <m:nor/>
            <m:sty m:val="p"/>
          </m:rPr>
          <m:t> to </m:t>
        </m:r>
        <m:r>
          <m:t>15</m:t>
        </m:r>
        <m:r>
          <m:rPr>
            <m:sty m:val="p"/>
          </m:rPr>
          <m:t>%</m:t>
        </m:r>
      </m:oMath>
      <w:r>
        <w:t xml:space="preserve"> </w:t>
      </w:r>
      <w:r>
        <w:t xml:space="preserve">[26,37,39]. Cellular cytological analyses by Narayana et al. [37] and Belyavskaya [38] confirmed that hypomagnetic exposure directly suppresses mitotic proliferation in root apical meristems and disrupts basipetal auxin distribution via PIN2 mis-localization.</w:t>
      </w:r>
    </w:p>
    <w:p>
      <w:pPr>
        <w:pStyle w:val="BodyText"/>
      </w:pPr>
      <w:r>
        <w:t xml:space="preserve">Consequently, while the bulk of the Day 5 biomass penalty is driven by the delayed onset of growth (</w:t>
      </w:r>
      <m:oMath>
        <m:r>
          <m:rPr>
            <m:sty m:val="p"/>
          </m:rPr>
          <m:t>Δ</m:t>
        </m:r>
        <m:sSub>
          <m:e>
            <m:r>
              <m:t>t</m:t>
            </m:r>
          </m:e>
          <m:sub>
            <m:r>
              <m:t>50</m:t>
            </m:r>
          </m:sub>
        </m:sSub>
      </m:oMath>
      <w:r>
        <w:t xml:space="preserve">), near-null fields also moderately suppress the intrinsic cellular elongation rate after emergence.</w:t>
      </w:r>
    </w:p>
    <w:bookmarkEnd w:id="31"/>
    <w:bookmarkStart w:id="32" w:name="Xdb294e65e9e0e5207039b8277af1a57480f8530"/>
    <w:p>
      <w:pPr>
        <w:pStyle w:val="Heading3"/>
      </w:pPr>
      <w:r>
        <w:t xml:space="preserve">3.3 Evidentiary Hierarchy for Pigment Repression &amp; Parallel Iron Homeostasis</w:t>
      </w:r>
    </w:p>
    <w:p>
      <w:pPr>
        <w:pStyle w:val="FirstParagraph"/>
      </w:pPr>
      <w:r>
        <w:t xml:space="preserve">Between Days 3 and 5 post-imbibition, as the seedling emerges into the illuminated canopy headspace, it undergoes photomorphogenic de-etiolation (Phase IV): hypocotyl elongation arrests, the apical hook straightens, cotyledons expand, and proplastids differentiate into photosynthetic chloroplasts [23,24].</w:t>
      </w:r>
    </w:p>
    <w:p>
      <w:pPr>
        <w:pStyle w:val="BodyText"/>
      </w:pPr>
      <w:r>
        <w:t xml:space="preserve">Hypomagnetic fields systematically impair pigment accumulation and downregulate the genetic networks governing plastid greening (Figure 3d). To provide clarity for future genetic engineering and countermeasure design, we stratify these downstream mechanisms into a four-tier evidentiary hierarchy:</w:t>
      </w:r>
      <w:r>
        <w:t xml:space="preserve"> </w:t>
      </w:r>
      <w:r>
        <w:t xml:space="preserve">-</w:t>
      </w:r>
      <w:r>
        <w:t xml:space="preserve"> </w:t>
      </w:r>
      <w:r>
        <w:rPr>
          <w:b/>
          <w:bCs/>
        </w:rPr>
        <w:t xml:space="preserve">Tier 1 (Direct Magnetoreceptor Signaling):</w:t>
      </w:r>
      <w:r>
        <w:t xml:space="preserve"> </w:t>
      </w:r>
      <w:r>
        <w:t xml:space="preserve">Cryptochrome-mediated blue light signaling. Direct magnetic field modulation of the spin-correlated radical pair</w:t>
      </w:r>
      <w:r>
        <w:t xml:space="preserve"> </w:t>
      </w:r>
      <m:oMath>
        <m:r>
          <m:rPr>
            <m:sty m:val="p"/>
          </m:rPr>
          <m:t>[</m:t>
        </m:r>
        <m:sSup>
          <m:e>
            <m:r>
              <m:rPr>
                <m:nor/>
                <m:sty m:val="p"/>
              </m:rPr>
              <m:t>FAD</m:t>
            </m:r>
          </m:e>
          <m:sup>
            <m:r>
              <m:rPr>
                <m:sty m:val="p"/>
              </m:rPr>
              <m:t>•</m:t>
            </m:r>
            <m:r>
              <m:rPr>
                <m:sty m:val="p"/>
              </m:rPr>
              <m:t>−</m:t>
            </m:r>
          </m:sup>
        </m:sSup>
        <m:r>
          <m:rPr>
            <m:sty m:val="p"/>
          </m:rPr>
          <m:t>⋯</m:t>
        </m:r>
        <m:sSup>
          <m:e>
            <m:r>
              <m:rPr>
                <m:nor/>
                <m:sty m:val="p"/>
              </m:rPr>
              <m:t>TrpH</m:t>
            </m:r>
          </m:e>
          <m:sup>
            <m:r>
              <m:rPr>
                <m:sty m:val="p"/>
              </m:rPr>
              <m:t>•</m:t>
            </m:r>
            <m:r>
              <m:rPr>
                <m:sty m:val="p"/>
              </m:rPr>
              <m:t>+</m:t>
            </m:r>
          </m:sup>
        </m:sSup>
        <m:r>
          <m:rPr>
            <m:sty m:val="p"/>
          </m:rPr>
          <m:t>]</m:t>
        </m:r>
      </m:oMath>
      <w:r>
        <w:t xml:space="preserve"> </w:t>
      </w:r>
      <w:r>
        <w:t xml:space="preserve">alters cryptochrome conformational activation, attenuating COP1/SPA1 dissociation and dampening the nuclear stabilization of transcription factor HY5 [49–51,58]. This mechanism is experimentally verified in intact plants and confirmed by the total loss of magnetic sensitivity in</w:t>
      </w:r>
      <w:r>
        <w:t xml:space="preserve"> </w:t>
      </w:r>
      <w:r>
        <w:rPr>
          <w:i/>
          <w:iCs/>
        </w:rPr>
        <w:t xml:space="preserve">cry1 cry2</w:t>
      </w:r>
      <w:r>
        <w:t xml:space="preserve"> </w:t>
      </w:r>
      <w:r>
        <w:t xml:space="preserve">double mutants [51,58].</w:t>
      </w:r>
      <w:r>
        <w:t xml:space="preserve"> </w:t>
      </w:r>
      <w:r>
        <w:t xml:space="preserve">-</w:t>
      </w:r>
      <w:r>
        <w:t xml:space="preserve"> </w:t>
      </w:r>
      <w:r>
        <w:rPr>
          <w:b/>
          <w:bCs/>
        </w:rPr>
        <w:t xml:space="preserve">Tier 2 (Transcriptional Downregulation of Pigment Networks):</w:t>
      </w:r>
      <w:r>
        <w:t xml:space="preserve"> </w:t>
      </w:r>
      <w:r>
        <w:t xml:space="preserve">Downregulation of HY5 target genes. HY5 directly binds promoters of rate-limiting chlorophyll biosynthetic enzymes (</w:t>
      </w:r>
      <w:r>
        <w:rPr>
          <w:i/>
          <w:iCs/>
        </w:rPr>
        <w:t xml:space="preserve">HEMA1</w:t>
      </w:r>
      <w:r>
        <w:t xml:space="preserve">,</w:t>
      </w:r>
      <w:r>
        <w:t xml:space="preserve"> </w:t>
      </w:r>
      <w:r>
        <w:rPr>
          <w:i/>
          <w:iCs/>
        </w:rPr>
        <w:t xml:space="preserve">CHLH</w:t>
      </w:r>
      <w:r>
        <w:t xml:space="preserve">,</w:t>
      </w:r>
      <w:r>
        <w:t xml:space="preserve"> </w:t>
      </w:r>
      <w:r>
        <w:rPr>
          <w:i/>
          <w:iCs/>
        </w:rPr>
        <w:t xml:space="preserve">PORA/B/C</w:t>
      </w:r>
      <w:r>
        <w:t xml:space="preserve">) and central anthocyanin structural genes (</w:t>
      </w:r>
      <w:r>
        <w:rPr>
          <w:i/>
          <w:iCs/>
        </w:rPr>
        <w:t xml:space="preserve">CHS</w:t>
      </w:r>
      <w:r>
        <w:t xml:space="preserve">,</w:t>
      </w:r>
      <w:r>
        <w:t xml:space="preserve"> </w:t>
      </w:r>
      <w:r>
        <w:rPr>
          <w:i/>
          <w:iCs/>
        </w:rPr>
        <w:t xml:space="preserve">CHI</w:t>
      </w:r>
      <w:r>
        <w:t xml:space="preserve">,</w:t>
      </w:r>
      <w:r>
        <w:t xml:space="preserve"> </w:t>
      </w:r>
      <w:r>
        <w:rPr>
          <w:i/>
          <w:iCs/>
        </w:rPr>
        <w:t xml:space="preserve">F3H</w:t>
      </w:r>
      <w:r>
        <w:t xml:space="preserve">) [47,48]. Repression of these transcripts under near-null fields is robustly documented across multiple laboratories [31,44–46].</w:t>
      </w:r>
      <w:r>
        <w:t xml:space="preserve"> </w:t>
      </w:r>
      <w:r>
        <w:t xml:space="preserve">-</w:t>
      </w:r>
      <w:r>
        <w:t xml:space="preserve"> </w:t>
      </w:r>
      <w:r>
        <w:rPr>
          <w:b/>
          <w:bCs/>
        </w:rPr>
        <w:t xml:space="preserve">Tier 3 (Secondary Iron Homeostasis Disruption):</w:t>
      </w:r>
      <w:r>
        <w:t xml:space="preserve"> </w:t>
      </w:r>
      <w:r>
        <w:t xml:space="preserve">Parallel nutritional chlorosis. Islam et al. [53,54] demonstrated that near-null fields downregulate root iron uptake machinery (</w:t>
      </w:r>
      <w:r>
        <w:rPr>
          <w:i/>
          <w:iCs/>
        </w:rPr>
        <w:t xml:space="preserve">FIT</w:t>
      </w:r>
      <w:r>
        <w:t xml:space="preserve">,</w:t>
      </w:r>
      <w:r>
        <w:t xml:space="preserve"> </w:t>
      </w:r>
      <w:r>
        <w:rPr>
          <w:i/>
          <w:iCs/>
        </w:rPr>
        <w:t xml:space="preserve">FRO2</w:t>
      </w:r>
      <w:r>
        <w:t xml:space="preserve">,</w:t>
      </w:r>
      <w:r>
        <w:t xml:space="preserve"> </w:t>
      </w:r>
      <w:r>
        <w:rPr>
          <w:i/>
          <w:iCs/>
        </w:rPr>
        <w:t xml:space="preserve">IRT1</w:t>
      </w:r>
      <w:r>
        <w:t xml:space="preserve">) and deplete ferritin storage (</w:t>
      </w:r>
      <w:r>
        <w:rPr>
          <w:i/>
          <w:iCs/>
        </w:rPr>
        <w:t xml:space="preserve">AtFer1–4</w:t>
      </w:r>
      <w:r>
        <w:t xml:space="preserve">). While originally hypothesized as a primary magnetosensor, iron homeostasis acts as a</w:t>
      </w:r>
      <w:r>
        <w:t xml:space="preserve"> </w:t>
      </w:r>
      <w:r>
        <w:rPr>
          <w:b/>
          <w:bCs/>
        </w:rPr>
        <w:t xml:space="preserve">parallel, downstream nutritional module</w:t>
      </w:r>
      <w:r>
        <w:t xml:space="preserve">: iron is an obligatory catalytic cofactor for chlorophyll synthesis (coproporphyrinogen III oxidase) and electron transport Fe–S clusters. Crucially,</w:t>
      </w:r>
      <w:r>
        <w:t xml:space="preserve"> </w:t>
      </w:r>
      <w:r>
        <w:rPr>
          <w:b/>
          <w:bCs/>
        </w:rPr>
        <w:t xml:space="preserve">supplementation with chelated iron (Fe-EDTA) or foliar iron sprays successfully rescues hypomagnetic chlorosis in ground experiments</w:t>
      </w:r>
      <w:r>
        <w:t xml:space="preserve"> </w:t>
      </w:r>
      <w:r>
        <w:t xml:space="preserve">[53], establishing an actionable, low-cost operational countermeasure for lunar flight payloads without requiring genetic modification.</w:t>
      </w:r>
      <w:r>
        <w:t xml:space="preserve"> </w:t>
      </w:r>
      <w:r>
        <w:t xml:space="preserve">-</w:t>
      </w:r>
      <w:r>
        <w:t xml:space="preserve"> </w:t>
      </w:r>
      <w:r>
        <w:rPr>
          <w:b/>
          <w:bCs/>
        </w:rPr>
        <w:t xml:space="preserve">Tier 4 (Systemic Hormonal Readouts):</w:t>
      </w:r>
      <w:r>
        <w:t xml:space="preserve"> </w:t>
      </w:r>
      <w:r>
        <w:t xml:space="preserve">Downstream shifts in GA, ABA, and auxin signaling. Hormonal imbalances represent the integrated whole-organism manifestation of disrupted organellar redox and cryptochrome signaling [35,36].</w:t>
      </w:r>
    </w:p>
    <w:p>
      <w:r>
        <w:pict>
          <v:rect style="width:0;height:1.5pt" o:hralign="center" o:hrstd="t" o:hr="t"/>
        </w:pict>
      </w:r>
    </w:p>
    <w:bookmarkEnd w:id="32"/>
    <w:bookmarkEnd w:id="33"/>
    <w:bookmarkStart w:id="38" w:name="X02a9b06c6b4373f75ab42fb7113307e65fb3bd2"/>
    <w:p>
      <w:pPr>
        <w:pStyle w:val="Heading2"/>
      </w:pPr>
      <w:r>
        <w:t xml:space="preserve">4. Quantum Molecular Biology of the 0–5 Day Window: The Quantum Biology Atlas Perspective</w:t>
      </w:r>
    </w:p>
    <w:p>
      <w:pPr>
        <w:pStyle w:val="FirstParagraph"/>
      </w:pPr>
      <w:r>
        <w:drawing>
          <wp:inline>
            <wp:extent cx="5334000" cy="4530201"/>
            <wp:effectExtent b="0" l="0" r="0" t="0"/>
            <wp:docPr descr="Figure 4" title="" id="35" name="Picture"/>
            <a:graphic>
              <a:graphicData uri="http://schemas.openxmlformats.org/drawingml/2006/picture">
                <pic:pic>
                  <pic:nvPicPr>
                    <pic:cNvPr descr="/Users/drb_laptop/Documents/NMF_review/figures/Fig4_quantum_biology_0to5day_pathways.png" id="36" name="Picture"/>
                    <pic:cNvPicPr>
                      <a:picLocks noChangeArrowheads="1" noChangeAspect="1"/>
                    </pic:cNvPicPr>
                  </pic:nvPicPr>
                  <pic:blipFill>
                    <a:blip r:embed="rId34"/>
                    <a:stretch>
                      <a:fillRect/>
                    </a:stretch>
                  </pic:blipFill>
                  <pic:spPr bwMode="auto">
                    <a:xfrm>
                      <a:off x="0" y="0"/>
                      <a:ext cx="5334000" cy="4530201"/>
                    </a:xfrm>
                    <a:prstGeom prst="rect">
                      <a:avLst/>
                    </a:prstGeom>
                    <a:noFill/>
                    <a:ln w="9525">
                      <a:noFill/>
                      <a:headEnd/>
                      <a:tailEnd/>
                    </a:ln>
                  </pic:spPr>
                </pic:pic>
              </a:graphicData>
            </a:graphic>
          </wp:inline>
        </w:drawing>
      </w:r>
      <w:r>
        <w:t xml:space="preserve"> </w:t>
      </w:r>
      <w:r>
        <w:rPr>
          <w:b/>
          <w:bCs/>
        </w:rPr>
        <w:t xml:space="preserve">Figure 4 | Quantum molecular biology of early seedling establishment (Days 0–5).</w:t>
      </w:r>
      <w:r>
        <w:br/>
      </w:r>
      <w:r>
        <w:rPr>
          <w:b/>
          <w:bCs/>
        </w:rPr>
        <w:t xml:space="preserve">(a) QBM-06 Pathway Map: Seed Germination Before Photosynthesis:</w:t>
      </w:r>
      <w:r>
        <w:t xml:space="preserve"> </w:t>
      </w:r>
      <w:r>
        <w:t xml:space="preserve">Systems Biology Graphical Notation (SBGN) pathway map of the 0–72 h heterotrophic energy bottleneck from the Quantum Biology Atlas (model</w:t>
      </w:r>
      <w:r>
        <w:t xml:space="preserve"> </w:t>
      </w:r>
      <w:r>
        <w:rPr>
          <w:rStyle w:val="VerbatimChar"/>
        </w:rPr>
        <w:t xml:space="preserve">QBM-06</w:t>
      </w:r>
      <w:r>
        <w:t xml:space="preserve">, version</w:t>
      </w:r>
      <w:r>
        <w:t xml:space="preserve"> </w:t>
      </w:r>
      <w:r>
        <w:rPr>
          <w:rStyle w:val="VerbatimChar"/>
        </w:rPr>
        <w:t xml:space="preserve">v2.4</w:t>
      </w:r>
      <w:r>
        <w:t xml:space="preserve">, Zenodo DOI:</w:t>
      </w:r>
      <w:r>
        <w:t xml:space="preserve"> </w:t>
      </w:r>
      <w:r>
        <w:rPr>
          <w:rStyle w:val="VerbatimChar"/>
        </w:rPr>
        <w:t xml:space="preserve">10.5281/zenodo.1082026</w:t>
      </w:r>
      <w:r>
        <w:t xml:space="preserve">) [55]. Four horizontal compartments delineate the reserve mobilization and bioenergetic route: Peroxisome (TAG lipase SDP1 [T4],</w:t>
      </w:r>
      <w:r>
        <w:t xml:space="preserve"> </w:t>
      </w:r>
      <m:oMath>
        <m:r>
          <m:t>β</m:t>
        </m:r>
      </m:oMath>
      <w:r>
        <w:t xml:space="preserve">-oxidation generating</w:t>
      </w:r>
      <w:r>
        <w:t xml:space="preserve"> </w:t>
      </w:r>
      <m:oMath>
        <m:sSub>
          <m:e>
            <m:r>
              <m:rPr>
                <m:nor/>
                <m:sty m:val="p"/>
              </m:rPr>
              <m:t>H</m:t>
            </m:r>
          </m:e>
          <m:sub>
            <m:r>
              <m:t>2</m:t>
            </m:r>
          </m:sub>
        </m:sSub>
        <m:sSub>
          <m:e>
            <m:r>
              <m:rPr>
                <m:nor/>
                <m:sty m:val="p"/>
              </m:rPr>
              <m:t>O</m:t>
            </m:r>
          </m:e>
          <m:sub>
            <m:r>
              <m:t>2</m:t>
            </m:r>
          </m:sub>
        </m:sSub>
      </m:oMath>
      <w:r>
        <w:t xml:space="preserve"> </w:t>
      </w:r>
      <w:r>
        <w:t xml:space="preserve">[T3], glyoxylate cycle [T4]); Mitochondrial Matrix (Acetyl-CoA [T4], Aconitase [4Fe-4S sentinel, T3], Complex I [FMN, 8 Fe-S, T2], Complex IV COX [T2]); Cellular Energy &amp; Redox (ATP/ADP ratio setting germination pace [T2], mitochondrial superoxide/</w:t>
      </w:r>
      <m:oMath>
        <m:sSub>
          <m:e>
            <m:r>
              <m:rPr>
                <m:nor/>
                <m:sty m:val="p"/>
              </m:rPr>
              <m:t>H</m:t>
            </m:r>
          </m:e>
          <m:sub>
            <m:r>
              <m:t>2</m:t>
            </m:r>
          </m:sub>
        </m:sSub>
        <m:sSub>
          <m:e>
            <m:r>
              <m:rPr>
                <m:nor/>
                <m:sty m:val="p"/>
              </m:rPr>
              <m:t>O</m:t>
            </m:r>
          </m:e>
          <m:sub>
            <m:r>
              <m:t>2</m:t>
            </m:r>
          </m:sub>
        </m:sSub>
      </m:oMath>
      <w:r>
        <w:t xml:space="preserve"> </w:t>
      </w:r>
      <w:r>
        <w:t xml:space="preserve">signaling [T2], Cytochrome</w:t>
      </w:r>
      <w:r>
        <w:t xml:space="preserve"> </w:t>
      </w:r>
      <m:oMath>
        <m:r>
          <m:t>c</m:t>
        </m:r>
      </m:oMath>
      <w:r>
        <w:t xml:space="preserve"> </w:t>
      </w:r>
      <w:r>
        <w:t xml:space="preserve">release modulating ABI4 retrograde signaling [T4]); and Organism Endpoint (Radicle Emergence at 0–72 h).</w:t>
      </w:r>
      <w:r>
        <w:br/>
      </w:r>
      <w:r>
        <w:rPr>
          <w:b/>
          <w:bCs/>
        </w:rPr>
        <w:t xml:space="preserve">(b) Evidentiary Tier Hierarchy &amp; Physical Timescale Matching:</w:t>
      </w:r>
      <w:r>
        <w:t xml:space="preserve"> </w:t>
      </w:r>
      <w:r>
        <w:t xml:space="preserve">Stratification of candidate mechanisms into four rigorous tiers: T1 Demonstrated (heavy black border, applied field directly measured on biomolecule); T2 Inferred from Complex/Process (solid blue border); T3 Plausible Physical Route (dashed vermillion border); and T4 Contextual Scaffold (hairline grey border). Physical timescale matching: Electron Larmor precession frequency scales as</w:t>
      </w:r>
      <w:r>
        <w:t xml:space="preserve"> </w:t>
      </w:r>
      <m:oMath>
        <m:sSub>
          <m:e>
            <m:r>
              <m:t>ν</m:t>
            </m:r>
          </m:e>
          <m:sub>
            <m:r>
              <m:t>L</m:t>
            </m:r>
          </m:sub>
        </m:sSub>
        <m:r>
          <m:rPr>
            <m:sty m:val="p"/>
          </m:rPr>
          <m:t>=</m:t>
        </m:r>
        <m:f>
          <m:fPr>
            <m:type m:val="bar"/>
          </m:fPr>
          <m:num>
            <m:sSub>
              <m:e>
                <m:r>
                  <m:t>γ</m:t>
                </m:r>
              </m:e>
              <m:sub>
                <m:r>
                  <m:t>e</m:t>
                </m:r>
              </m:sub>
            </m:sSub>
            <m:r>
              <m:t>B</m:t>
            </m:r>
          </m:num>
          <m:den>
            <m:r>
              <m:t>2</m:t>
            </m:r>
            <m:r>
              <m:t>π</m:t>
            </m:r>
          </m:den>
        </m:f>
        <m:r>
          <m:rPr>
            <m:sty m:val="p"/>
          </m:rPr>
          <m:t>≈</m:t>
        </m:r>
        <m:r>
          <m:t>28.025</m:t>
        </m:r>
        <m:r>
          <m:rPr>
            <m:nor/>
            <m:sty m:val="p"/>
          </m:rPr>
          <m:t> Hz/nT</m:t>
        </m:r>
        <m:r>
          <m:rPr>
            <m:sty m:val="p"/>
          </m:rPr>
          <m:t>×</m:t>
        </m:r>
        <m:r>
          <m:t>B</m:t>
        </m:r>
      </m:oMath>
      <w:r>
        <w:t xml:space="preserve">. At</w:t>
      </w:r>
      <w:r>
        <w:t xml:space="preserve"> </w:t>
      </w:r>
      <m:oMath>
        <m:r>
          <m:t>50</m:t>
        </m:r>
        <m:r>
          <m:t> </m:t>
        </m:r>
        <m:r>
          <m:t>μ</m:t>
        </m:r>
        <m:r>
          <m:rPr>
            <m:nor/>
            <m:sty m:val="p"/>
          </m:rPr>
          <m:t>T</m:t>
        </m:r>
      </m:oMath>
      <w:r>
        <w:t xml:space="preserve"> </w:t>
      </w:r>
      <w:r>
        <w:t xml:space="preserve">GMF,</w:t>
      </w:r>
      <w:r>
        <w:t xml:space="preserve"> </w:t>
      </w:r>
      <m:oMath>
        <m:sSub>
          <m:e>
            <m:r>
              <m:t>ν</m:t>
            </m:r>
          </m:e>
          <m:sub>
            <m:r>
              <m:t>L</m:t>
            </m:r>
          </m:sub>
        </m:sSub>
        <m:r>
          <m:rPr>
            <m:sty m:val="p"/>
          </m:rPr>
          <m:t>≈</m:t>
        </m:r>
        <m:r>
          <m:t>1.401</m:t>
        </m:r>
        <m:r>
          <m:rPr>
            <m:nor/>
            <m:sty m:val="p"/>
          </m:rPr>
          <m:t> MHz</m:t>
        </m:r>
      </m:oMath>
      <w:r>
        <w:t xml:space="preserve"> </w:t>
      </w:r>
      <w:r>
        <w:t xml:space="preserve">(</w:t>
      </w:r>
      <m:oMath>
        <m:sSub>
          <m:e>
            <m:r>
              <m:t>τ</m:t>
            </m:r>
          </m:e>
          <m:sub>
            <m:r>
              <m:t>L</m:t>
            </m:r>
          </m:sub>
        </m:sSub>
        <m:r>
          <m:rPr>
            <m:sty m:val="p"/>
          </m:rPr>
          <m:t>≈</m:t>
        </m:r>
        <m:r>
          <m:t>714</m:t>
        </m:r>
        <m:r>
          <m:rPr>
            <m:nor/>
            <m:sty m:val="p"/>
          </m:rPr>
          <m:t> ns</m:t>
        </m:r>
      </m:oMath>
      <w:r>
        <w:t xml:space="preserve">), matching the microsecond spin coherence lifetime (</w:t>
      </w:r>
      <m:oMath>
        <m:sSub>
          <m:e>
            <m:r>
              <m:t>τ</m:t>
            </m:r>
          </m:e>
          <m:sub>
            <m:r>
              <m:rPr>
                <m:nor/>
                <m:sty m:val="p"/>
              </m:rPr>
              <m:t>coh</m:t>
            </m:r>
          </m:sub>
        </m:sSub>
        <m:r>
          <m:rPr>
            <m:sty m:val="p"/>
          </m:rPr>
          <m:t>∼</m:t>
        </m:r>
        <m:r>
          <m:t>1</m:t>
        </m:r>
        <m:r>
          <m:t> </m:t>
        </m:r>
        <m:r>
          <m:t>μ</m:t>
        </m:r>
        <m:r>
          <m:rPr>
            <m:nor/>
            <m:sty m:val="p"/>
          </m:rPr>
          <m:t>s</m:t>
        </m:r>
      </m:oMath>
      <w:r>
        <w:t xml:space="preserve">) of cryptochrome radical pairs. In lunar NNMF (</w:t>
      </w:r>
      <m:oMath>
        <m:r>
          <m:t>1</m:t>
        </m:r>
        <m:r>
          <m:rPr>
            <m:nor/>
            <m:sty m:val="p"/>
          </m:rPr>
          <m:t> nT</m:t>
        </m:r>
      </m:oMath>
      <w:r>
        <w:t xml:space="preserve">),</w:t>
      </w:r>
      <w:r>
        <w:t xml:space="preserve"> </w:t>
      </w:r>
      <m:oMath>
        <m:sSub>
          <m:e>
            <m:r>
              <m:t>ν</m:t>
            </m:r>
          </m:e>
          <m:sub>
            <m:r>
              <m:t>L</m:t>
            </m:r>
          </m:sub>
        </m:sSub>
        <m:r>
          <m:rPr>
            <m:sty m:val="p"/>
          </m:rPr>
          <m:t>≈</m:t>
        </m:r>
        <m:r>
          <m:t>28</m:t>
        </m:r>
        <m:r>
          <m:rPr>
            <m:nor/>
            <m:sty m:val="p"/>
          </m:rPr>
          <m:t> Hz</m:t>
        </m:r>
      </m:oMath>
      <w:r>
        <w:t xml:space="preserve"> </w:t>
      </w:r>
      <w:r>
        <w:t xml:space="preserve">(</w:t>
      </w:r>
      <m:oMath>
        <m:sSub>
          <m:e>
            <m:r>
              <m:t>τ</m:t>
            </m:r>
          </m:e>
          <m:sub>
            <m:r>
              <m:t>L</m:t>
            </m:r>
          </m:sub>
        </m:sSub>
        <m:r>
          <m:rPr>
            <m:sty m:val="p"/>
          </m:rPr>
          <m:t>≈</m:t>
        </m:r>
        <m:r>
          <m:t>35.7</m:t>
        </m:r>
        <m:r>
          <m:rPr>
            <m:nor/>
            <m:sty m:val="p"/>
          </m:rPr>
          <m:t> ms</m:t>
        </m:r>
      </m:oMath>
      <w:r>
        <w:t xml:space="preserve">), completely decoupling external Zeeman mixing from radical-pair lifetimes by</w:t>
      </w:r>
      <w:r>
        <w:t xml:space="preserve"> </w:t>
      </w:r>
      <m:oMath>
        <m:r>
          <m:rPr>
            <m:sty m:val="p"/>
          </m:rPr>
          <m:t>&gt;</m:t>
        </m:r>
        <m:r>
          <m:t>4</m:t>
        </m:r>
      </m:oMath>
      <w:r>
        <w:t xml:space="preserve"> </w:t>
      </w:r>
      <w:r>
        <w:t xml:space="preserve">orders of magnitude. Open PSII charge separation occurs in</w:t>
      </w:r>
      <w:r>
        <w:t xml:space="preserve"> </w:t>
      </w:r>
      <m:oMath>
        <m:r>
          <m:rPr>
            <m:sty m:val="p"/>
          </m:rPr>
          <m:t>∼</m:t>
        </m:r>
        <m:r>
          <m:t>200</m:t>
        </m:r>
        <m:r>
          <m:rPr>
            <m:nor/>
            <m:sty m:val="p"/>
          </m:rPr>
          <m:t> ps</m:t>
        </m:r>
      </m:oMath>
      <w:r>
        <w:t xml:space="preserve"> </w:t>
      </w:r>
      <w:r>
        <w:t xml:space="preserve">(</w:t>
      </w:r>
      <m:oMath>
        <m:sSup>
          <m:e>
            <m:r>
              <m:t>10</m:t>
            </m:r>
          </m:e>
          <m:sup>
            <m:r>
              <m:t>6</m:t>
            </m:r>
          </m:sup>
        </m:sSup>
        <m:r>
          <m:rPr>
            <m:sty m:val="p"/>
          </m:rPr>
          <m:t>×</m:t>
        </m:r>
      </m:oMath>
      <w:r>
        <w:t xml:space="preserve"> </w:t>
      </w:r>
      <w:r>
        <w:t xml:space="preserve">too rapid for microtesla fields). Mitochondrial Complex III</w:t>
      </w:r>
      <w:r>
        <w:t xml:space="preserve"> </w:t>
      </w:r>
      <m:oMath>
        <m:sSub>
          <m:e>
            <m:r>
              <m:t>Q</m:t>
            </m:r>
          </m:e>
          <m:sub>
            <m:r>
              <m:t>o</m:t>
            </m:r>
          </m:sub>
        </m:sSub>
      </m:oMath>
      <w:r>
        <w:t xml:space="preserve"> </w:t>
      </w:r>
      <w:r>
        <w:t xml:space="preserve">semiquinone-Rieske exchange coupling is in the gigahertz regime (</w:t>
      </w:r>
      <m:oMath>
        <m:r>
          <m:t>J</m:t>
        </m:r>
        <m:r>
          <m:rPr>
            <m:sty m:val="p"/>
          </m:rPr>
          <m:t>∼</m:t>
        </m:r>
        <m:r>
          <m:rPr>
            <m:nor/>
            <m:sty m:val="p"/>
          </m:rPr>
          <m:t>GHz</m:t>
        </m:r>
        <m:r>
          <m:rPr>
            <m:sty m:val="p"/>
          </m:rPr>
          <m:t>≫</m:t>
        </m:r>
        <m:r>
          <m:rPr>
            <m:nor/>
            <m:sty m:val="p"/>
          </m:rPr>
          <m:t>GMF</m:t>
        </m:r>
      </m:oMath>
      <w:r>
        <w:t xml:space="preserve">), refuting unphysical runaway ROS leak models.</w:t>
      </w:r>
      <w:r>
        <w:br/>
      </w:r>
      <w:r>
        <w:rPr>
          <w:b/>
          <w:bCs/>
        </w:rPr>
        <w:t xml:space="preserve">(c) Organellar Bioenergetics:</w:t>
      </w:r>
      <w:r>
        <w:t xml:space="preserve"> </w:t>
      </w:r>
      <w:r>
        <w:t xml:space="preserve">(Top) Chloroplast PETC (QBM-02) indicating PSII (P680, T2), Cytochrome</w:t>
      </w:r>
      <w:r>
        <w:t xml:space="preserve"> </w:t>
      </w:r>
      <m:oMath>
        <m:sSub>
          <m:e>
            <m:r>
              <m:t>b</m:t>
            </m:r>
          </m:e>
          <m:sub>
            <m:r>
              <m:t>6</m:t>
            </m:r>
          </m:sub>
        </m:sSub>
        <m:r>
          <m:t>f</m:t>
        </m:r>
      </m:oMath>
      <w:r>
        <w:t xml:space="preserve"> </w:t>
      </w:r>
      <w:r>
        <w:t xml:space="preserve">Rieske [2Fe-2S] cluster (T3), PSI (P700,</w:t>
      </w:r>
      <w:r>
        <w:t xml:space="preserve"> </w:t>
      </w:r>
      <m:oMath>
        <m:sSubSup>
          <m:e>
            <m:r>
              <m:t>P</m:t>
            </m:r>
          </m:e>
          <m:sub>
            <m:r>
              <m:t>700</m:t>
            </m:r>
          </m:sub>
          <m:sup>
            <m:r>
              <m:rPr>
                <m:sty m:val="p"/>
              </m:rPr>
              <m:t>+</m:t>
            </m:r>
            <m:r>
              <m:rPr>
                <m:sty m:val="p"/>
              </m:rPr>
              <m:t>•</m:t>
            </m:r>
          </m:sup>
        </m:sSubSup>
        <m:sSubSup>
          <m:e>
            <m:r>
              <m:t>A</m:t>
            </m:r>
          </m:e>
          <m:sub>
            <m:r>
              <m:t>1</m:t>
            </m:r>
          </m:sub>
          <m:sup>
            <m:r>
              <m:rPr>
                <m:sty m:val="p"/>
              </m:rPr>
              <m:t>−</m:t>
            </m:r>
            <m:r>
              <m:rPr>
                <m:sty m:val="p"/>
              </m:rPr>
              <m:t>•</m:t>
            </m:r>
          </m:sup>
        </m:sSubSup>
      </m:oMath>
      <w:r>
        <w:t xml:space="preserve"> </w:t>
      </w:r>
      <w:r>
        <w:t xml:space="preserve">radical pair, T2), and Ferredoxin/FNR (T2). (Bottom) Mitochondrial respiration (QBM-01) showing electron transport via Complex I and III to the ubiquinone pool, and the vital</w:t>
      </w:r>
      <w:r>
        <w:t xml:space="preserve"> </w:t>
      </w:r>
      <w:r>
        <w:rPr>
          <w:b/>
          <w:bCs/>
        </w:rPr>
        <w:t xml:space="preserve">Alternative Oxidase (AOX)</w:t>
      </w:r>
      <w:r>
        <w:t xml:space="preserve"> </w:t>
      </w:r>
      <w:r>
        <w:t xml:space="preserve">cyanide-resistant bypass [T2], which directly vents excess redox pressure to</w:t>
      </w:r>
      <w:r>
        <w:t xml:space="preserve"> </w:t>
      </w:r>
      <m:oMath>
        <m:sSub>
          <m:e>
            <m:r>
              <m:rPr>
                <m:nor/>
                <m:sty m:val="p"/>
              </m:rPr>
              <m:t>O</m:t>
            </m:r>
          </m:e>
          <m:sub>
            <m:r>
              <m:t>2</m:t>
            </m:r>
          </m:sub>
        </m:sSub>
      </m:oMath>
      <w:r>
        <w:t xml:space="preserve"> </w:t>
      </w:r>
      <w:r>
        <w:t xml:space="preserve">without proton pumping, dampening catastrophic superoxide runaway.</w:t>
      </w:r>
    </w:p>
    <w:bookmarkStart w:id="37" w:name="X46f8c9260347232ed32876f47d46403b2d61043"/>
    <w:p>
      <w:pPr>
        <w:pStyle w:val="Heading3"/>
      </w:pPr>
      <w:r>
        <w:t xml:space="preserve">4.1 Physical Basis of Larmor Frequency Scaling in Lunar Fields</w:t>
      </w:r>
    </w:p>
    <w:p>
      <w:pPr>
        <w:pStyle w:val="FirstParagraph"/>
      </w:pPr>
      <w:r>
        <w:t xml:space="preserve">The fundamental physical interaction between an external magnetic field</w:t>
      </w:r>
      <w:r>
        <w:t xml:space="preserve"> </w:t>
      </w:r>
      <m:oMath>
        <m:r>
          <m:rPr>
            <m:sty m:val="bi"/>
          </m:rPr>
          <m:t>B</m:t>
        </m:r>
      </m:oMath>
      <w:r>
        <w:t xml:space="preserve"> </w:t>
      </w:r>
      <w:r>
        <w:t xml:space="preserve">and an unpaired electron spin is governed by the Zeeman Hamiltonian</w:t>
      </w:r>
      <w:r>
        <w:t xml:space="preserve"> </w:t>
      </w:r>
      <m:oMath>
        <m:sSub>
          <m:e>
            <m:acc>
              <m:accPr>
                <m:chr m:val="̂"/>
              </m:accPr>
              <m:e>
                <m:r>
                  <m:t>H</m:t>
                </m:r>
              </m:e>
            </m:acc>
          </m:e>
          <m:sub>
            <m:r>
              <m:t>Z</m:t>
            </m:r>
          </m:sub>
        </m:sSub>
        <m:r>
          <m:rPr>
            <m:sty m:val="p"/>
          </m:rPr>
          <m:t>=</m:t>
        </m:r>
        <m:sSub>
          <m:e>
            <m:r>
              <m:t>γ</m:t>
            </m:r>
          </m:e>
          <m:sub>
            <m:r>
              <m:t>e</m:t>
            </m:r>
          </m:sub>
        </m:sSub>
        <m:r>
          <m:rPr>
            <m:sty m:val="bi"/>
          </m:rPr>
          <m:t>B</m:t>
        </m:r>
        <m:r>
          <m:rPr>
            <m:sty m:val="p"/>
          </m:rPr>
          <m:t>⋅</m:t>
        </m:r>
        <m:acc>
          <m:accPr>
            <m:chr m:val="̂"/>
          </m:accPr>
          <m:e>
            <m:r>
              <m:rPr>
                <m:sty m:val="bi"/>
              </m:rPr>
              <m:t>S</m:t>
            </m:r>
          </m:e>
        </m:acc>
      </m:oMath>
      <w:r>
        <w:t xml:space="preserve">, where</w:t>
      </w:r>
      <w:r>
        <w:t xml:space="preserve"> </w:t>
      </w:r>
      <m:oMath>
        <m:sSub>
          <m:e>
            <m:r>
              <m:t>γ</m:t>
            </m:r>
          </m:e>
          <m:sub>
            <m:r>
              <m:t>e</m:t>
            </m:r>
          </m:sub>
        </m:sSub>
        <m:r>
          <m:rPr>
            <m:sty m:val="p"/>
          </m:rPr>
          <m:t>=</m:t>
        </m:r>
        <m:r>
          <m:t>1.7608</m:t>
        </m:r>
        <m:r>
          <m:rPr>
            <m:sty m:val="p"/>
          </m:rPr>
          <m:t>×</m:t>
        </m:r>
        <m:sSup>
          <m:e>
            <m:r>
              <m:t>10</m:t>
            </m:r>
          </m:e>
          <m:sup>
            <m:r>
              <m:t>11</m:t>
            </m:r>
          </m:sup>
        </m:sSup>
        <m:sSup>
          <m:e>
            <m:r>
              <m:rPr>
                <m:nor/>
                <m:sty m:val="p"/>
              </m:rPr>
              <m:t> rad s</m:t>
            </m:r>
          </m:e>
          <m:sup>
            <m:r>
              <m:rPr>
                <m:sty m:val="p"/>
              </m:rPr>
              <m:t>−</m:t>
            </m:r>
            <m:r>
              <m:t>1</m:t>
            </m:r>
          </m:sup>
        </m:sSup>
        <m:sSup>
          <m:e>
            <m:r>
              <m:rPr>
                <m:nor/>
                <m:sty m:val="p"/>
              </m:rPr>
              <m:t> T</m:t>
            </m:r>
          </m:e>
          <m:sup>
            <m:r>
              <m:rPr>
                <m:sty m:val="p"/>
              </m:rPr>
              <m:t>−</m:t>
            </m:r>
            <m:r>
              <m:t>1</m:t>
            </m:r>
          </m:sup>
        </m:sSup>
      </m:oMath>
      <w:r>
        <w:t xml:space="preserve"> </w:t>
      </w:r>
      <w:r>
        <w:t xml:space="preserve">is the electron gyromagnetic ratio. The corresponding cyclic Larmor precession frequency is:</w:t>
      </w:r>
    </w:p>
    <w:p>
      <w:pPr>
        <w:pStyle w:val="BodyText"/>
      </w:pPr>
      <m:oMathPara>
        <m:oMathParaPr>
          <m:jc m:val="center"/>
        </m:oMathParaPr>
        <m:oMath>
          <m:sSub>
            <m:e>
              <m:r>
                <m:t>ν</m:t>
              </m:r>
            </m:e>
            <m:sub>
              <m:r>
                <m:t>L</m:t>
              </m:r>
            </m:sub>
          </m:sSub>
          <m:r>
            <m:rPr>
              <m:sty m:val="p"/>
            </m:rPr>
            <m:t>=</m:t>
          </m:r>
          <m:f>
            <m:fPr>
              <m:type m:val="bar"/>
            </m:fPr>
            <m:num>
              <m:sSub>
                <m:e>
                  <m:r>
                    <m:t>γ</m:t>
                  </m:r>
                </m:e>
                <m:sub>
                  <m:r>
                    <m:t>e</m:t>
                  </m:r>
                </m:sub>
              </m:sSub>
              <m:r>
                <m:rPr>
                  <m:sty m:val="p"/>
                </m:rPr>
                <m:t>|</m:t>
              </m:r>
              <m:r>
                <m:rPr>
                  <m:sty m:val="bi"/>
                </m:rPr>
                <m:t>B</m:t>
              </m:r>
              <m:r>
                <m:rPr>
                  <m:sty m:val="p"/>
                </m:rPr>
                <m:t>|</m:t>
              </m:r>
            </m:num>
            <m:den>
              <m:r>
                <m:t>2</m:t>
              </m:r>
              <m:r>
                <m:t>π</m:t>
              </m:r>
            </m:den>
          </m:f>
          <m:r>
            <m:rPr>
              <m:sty m:val="p"/>
            </m:rPr>
            <m:t>≈</m:t>
          </m:r>
          <m:r>
            <m:t>28.025</m:t>
          </m:r>
          <m:r>
            <m:rPr>
              <m:nor/>
              <m:sty m:val="p"/>
            </m:rPr>
            <m:t> Hz / nT</m:t>
          </m:r>
          <m:r>
            <m:rPr>
              <m:sty m:val="p"/>
            </m:rPr>
            <m:t>×</m:t>
          </m:r>
          <m:r>
            <m:rPr>
              <m:sty m:val="p"/>
            </m:rPr>
            <m:t>|</m:t>
          </m:r>
          <m:r>
            <m:rPr>
              <m:sty m:val="bi"/>
            </m:rPr>
            <m:t>B</m:t>
          </m:r>
          <m:r>
            <m:rPr>
              <m:sty m:val="p"/>
            </m:rPr>
            <m:t>|</m:t>
          </m:r>
        </m:oMath>
      </m:oMathPara>
    </w:p>
    <w:p>
      <w:pPr>
        <w:pStyle w:val="FirstParagraph"/>
      </w:pPr>
      <w:r>
        <w:t xml:space="preserve">and the characteristic precession period is</w:t>
      </w:r>
      <w:r>
        <w:t xml:space="preserve"> </w:t>
      </w:r>
      <m:oMath>
        <m:sSub>
          <m:e>
            <m:r>
              <m:t>τ</m:t>
            </m:r>
          </m:e>
          <m:sub>
            <m:r>
              <m:t>L</m:t>
            </m:r>
          </m:sub>
        </m:sSub>
        <m:r>
          <m:rPr>
            <m:sty m:val="p"/>
          </m:rPr>
          <m:t>=</m:t>
        </m:r>
        <m:r>
          <m:t>1</m:t>
        </m:r>
        <m:r>
          <m:rPr>
            <m:sty m:val="p"/>
          </m:rPr>
          <m:t>/</m:t>
        </m:r>
        <m:sSub>
          <m:e>
            <m:r>
              <m:t>ν</m:t>
            </m:r>
          </m:e>
          <m:sub>
            <m:r>
              <m:t>L</m:t>
            </m:r>
          </m:sub>
        </m:sSub>
      </m:oMath>
      <w:r>
        <w:t xml:space="preserve">:</w:t>
      </w:r>
      <w:r>
        <w:t xml:space="preserve"> </w:t>
      </w:r>
      <w:r>
        <w:t xml:space="preserve">1.</w:t>
      </w:r>
      <w:r>
        <w:t xml:space="preserve"> </w:t>
      </w:r>
      <w:r>
        <w:rPr>
          <w:b/>
          <w:bCs/>
        </w:rPr>
        <w:t xml:space="preserve">Terrestrial Geomagnetic Field (</w:t>
      </w:r>
      <m:oMath>
        <m:r>
          <m:t>50</m:t>
        </m:r>
        <m:r>
          <m:t> </m:t>
        </m:r>
        <m:r>
          <m:t>μ</m:t>
        </m:r>
        <m:r>
          <m:rPr>
            <m:nor/>
            <m:sty m:val="p"/>
          </m:rPr>
          <m:t>T</m:t>
        </m:r>
        <m:r>
          <m:rPr>
            <m:sty m:val="p"/>
          </m:rPr>
          <m:t>=</m:t>
        </m:r>
        <m:r>
          <m:t>50</m:t>
        </m:r>
        <m:r>
          <m:rPr>
            <m:sty m:val="p"/>
          </m:rPr>
          <m:t>,</m:t>
        </m:r>
        <m:r>
          <m:t>000</m:t>
        </m:r>
        <m:r>
          <m:rPr>
            <m:nor/>
            <m:sty m:val="p"/>
          </m:rPr>
          <m:t> nT</m:t>
        </m:r>
      </m:oMath>
      <w:r>
        <w:rPr>
          <w:b/>
          <w:bCs/>
        </w:rPr>
        <w:t xml:space="preserve">):</w:t>
      </w:r>
    </w:p>
    <w:p>
      <w:pPr>
        <w:pStyle w:val="BodyText"/>
      </w:pPr>
      <m:oMathPara>
        <m:oMathParaPr>
          <m:jc m:val="center"/>
        </m:oMathParaPr>
        <m:oMath>
          <m:sSub>
            <m:e>
              <m:r>
                <m:t>ν</m:t>
              </m:r>
            </m:e>
            <m:sub>
              <m:r>
                <m:t>L</m:t>
              </m:r>
            </m:sub>
          </m:sSub>
          <m:r>
            <m:rPr>
              <m:sty m:val="p"/>
            </m:rPr>
            <m:t>≈</m:t>
          </m:r>
          <m:r>
            <m:t>1.401</m:t>
          </m:r>
          <m:r>
            <m:rPr>
              <m:nor/>
              <m:sty m:val="p"/>
            </m:rPr>
            <m:t> MHz</m:t>
          </m:r>
          <m:r>
            <m:rPr>
              <m:sty m:val="p"/>
            </m:rPr>
            <m:t>,</m:t>
          </m:r>
          <m:r>
            <m:t> </m:t>
          </m:r>
          <m:sSub>
            <m:e>
              <m:r>
                <m:t>τ</m:t>
              </m:r>
            </m:e>
            <m:sub>
              <m:r>
                <m:t>L</m:t>
              </m:r>
            </m:sub>
          </m:sSub>
          <m:r>
            <m:rPr>
              <m:sty m:val="p"/>
            </m:rPr>
            <m:t>≈</m:t>
          </m:r>
          <m:r>
            <m:t>714</m:t>
          </m:r>
          <m:r>
            <m:rPr>
              <m:nor/>
              <m:sty m:val="p"/>
            </m:rPr>
            <m:t> ns</m:t>
          </m:r>
        </m:oMath>
      </m:oMathPara>
    </w:p>
    <w:p>
      <w:pPr>
        <w:pStyle w:val="FirstParagraph"/>
      </w:pPr>
      <w:r>
        <w:t xml:space="preserve">Crucially, this sub-microsecond timescale (</w:t>
      </w:r>
      <m:oMath>
        <m:sSub>
          <m:e>
            <m:r>
              <m:t>τ</m:t>
            </m:r>
          </m:e>
          <m:sub>
            <m:r>
              <m:t>L</m:t>
            </m:r>
          </m:sub>
        </m:sSub>
        <m:r>
          <m:rPr>
            <m:sty m:val="p"/>
          </m:rPr>
          <m:t>≈</m:t>
        </m:r>
        <m:r>
          <m:t>0.71</m:t>
        </m:r>
        <m:r>
          <m:t> </m:t>
        </m:r>
        <m:r>
          <m:t>μ</m:t>
        </m:r>
        <m:r>
          <m:rPr>
            <m:nor/>
            <m:sty m:val="p"/>
          </m:rPr>
          <m:t>s</m:t>
        </m:r>
      </m:oMath>
      <w:r>
        <w:t xml:space="preserve">) is directly resonant with the spin coherence lifetime of biological radical pairs (</w:t>
      </w:r>
      <m:oMath>
        <m:sSub>
          <m:e>
            <m:r>
              <m:t>τ</m:t>
            </m:r>
          </m:e>
          <m:sub>
            <m:r>
              <m:rPr>
                <m:nor/>
                <m:sty m:val="p"/>
              </m:rPr>
              <m:t>coh</m:t>
            </m:r>
          </m:sub>
        </m:sSub>
        <m:r>
          <m:rPr>
            <m:sty m:val="p"/>
          </m:rPr>
          <m:t>∼</m:t>
        </m:r>
        <m:r>
          <m:t>1</m:t>
        </m:r>
        <m:r>
          <m:t> </m:t>
        </m:r>
        <m:r>
          <m:t>μ</m:t>
        </m:r>
        <m:r>
          <m:rPr>
            <m:nor/>
            <m:sty m:val="p"/>
          </m:rPr>
          <m:t>s</m:t>
        </m:r>
      </m:oMath>
      <w:r>
        <w:t xml:space="preserve">) in proteins like cryptochrome, allowing Earth’s geomagnetic field to compete effectively with nuclear hyperfine interactions (</w:t>
      </w:r>
      <m:oMath>
        <m:sSub>
          <m:e>
            <m:r>
              <m:t>a</m:t>
            </m:r>
          </m:e>
          <m:sub>
            <m:r>
              <m:rPr>
                <m:nor/>
                <m:sty m:val="p"/>
              </m:rPr>
              <m:t>hf</m:t>
            </m:r>
          </m:sub>
        </m:sSub>
        <m:r>
          <m:rPr>
            <m:sty m:val="p"/>
          </m:rPr>
          <m:t>∼</m:t>
        </m:r>
        <m:r>
          <m:t>1</m:t>
        </m:r>
        <m:r>
          <m:rPr>
            <m:nor/>
            <m:sty m:val="p"/>
          </m:rPr>
          <m:t>–</m:t>
        </m:r>
        <m:r>
          <m:t>10</m:t>
        </m:r>
        <m:r>
          <m:rPr>
            <m:nor/>
            <m:sty m:val="p"/>
          </m:rPr>
          <m:t> G</m:t>
        </m:r>
        <m:r>
          <m:rPr>
            <m:sty m:val="p"/>
          </m:rPr>
          <m:t>≈</m:t>
        </m:r>
        <m:r>
          <m:t>0.1</m:t>
        </m:r>
        <m:r>
          <m:rPr>
            <m:nor/>
            <m:sty m:val="p"/>
          </m:rPr>
          <m:t>–</m:t>
        </m:r>
        <m:r>
          <m:t>1</m:t>
        </m:r>
        <m:r>
          <m:rPr>
            <m:nor/>
            <m:sty m:val="p"/>
          </m:rPr>
          <m:t> mT</m:t>
        </m:r>
      </m:oMath>
      <w:r>
        <w:t xml:space="preserve">) and modulate singlet-triplet interconversion (</w:t>
      </w:r>
      <m:oMath>
        <m:r>
          <m:t>S</m:t>
        </m:r>
        <m:r>
          <m:rPr>
            <m:sty m:val="p"/>
          </m:rPr>
          <m:t>↔</m:t>
        </m:r>
        <m:r>
          <m:t>T</m:t>
        </m:r>
      </m:oMath>
      <w:r>
        <w:t xml:space="preserve">) [49,50].</w:t>
      </w:r>
      <w:r>
        <w:t xml:space="preserve"> </w:t>
      </w:r>
      <w:r>
        <w:t xml:space="preserve">2.</w:t>
      </w:r>
      <w:r>
        <w:t xml:space="preserve"> </w:t>
      </w:r>
      <w:r>
        <w:rPr>
          <w:b/>
          <w:bCs/>
        </w:rPr>
        <w:t xml:space="preserve">Lunar Deep Near-Null Field (</w:t>
      </w:r>
      <m:oMath>
        <m:r>
          <m:t>1</m:t>
        </m:r>
        <m:r>
          <m:rPr>
            <m:nor/>
            <m:sty m:val="p"/>
          </m:rPr>
          <m:t> nT</m:t>
        </m:r>
      </m:oMath>
      <w:r>
        <w:rPr>
          <w:b/>
          <w:bCs/>
        </w:rPr>
        <w:t xml:space="preserve">):</w:t>
      </w:r>
    </w:p>
    <w:p>
      <w:pPr>
        <w:pStyle w:val="BodyText"/>
      </w:pPr>
      <m:oMathPara>
        <m:oMathParaPr>
          <m:jc m:val="center"/>
        </m:oMathParaPr>
        <m:oMath>
          <m:sSub>
            <m:e>
              <m:r>
                <m:t>ν</m:t>
              </m:r>
            </m:e>
            <m:sub>
              <m:r>
                <m:t>L</m:t>
              </m:r>
            </m:sub>
          </m:sSub>
          <m:r>
            <m:rPr>
              <m:sty m:val="p"/>
            </m:rPr>
            <m:t>≈</m:t>
          </m:r>
          <m:r>
            <m:t>28.02</m:t>
          </m:r>
          <m:r>
            <m:rPr>
              <m:nor/>
              <m:sty m:val="p"/>
            </m:rPr>
            <m:t> Hz</m:t>
          </m:r>
          <m:r>
            <m:rPr>
              <m:sty m:val="p"/>
            </m:rPr>
            <m:t>,</m:t>
          </m:r>
          <m:r>
            <m:t> </m:t>
          </m:r>
          <m:sSub>
            <m:e>
              <m:r>
                <m:t>τ</m:t>
              </m:r>
            </m:e>
            <m:sub>
              <m:r>
                <m:t>L</m:t>
              </m:r>
            </m:sub>
          </m:sSub>
          <m:r>
            <m:rPr>
              <m:sty m:val="p"/>
            </m:rPr>
            <m:t>≈</m:t>
          </m:r>
          <m:r>
            <m:t>35.7</m:t>
          </m:r>
          <m:r>
            <m:rPr>
              <m:nor/>
              <m:sty m:val="p"/>
            </m:rPr>
            <m:t> ms</m:t>
          </m:r>
        </m:oMath>
      </m:oMathPara>
    </w:p>
    <w:p>
      <w:pPr>
        <w:pStyle w:val="FirstParagraph"/>
      </w:pPr>
      <w:r>
        <w:t xml:space="preserve">3.</w:t>
      </w:r>
      <w:r>
        <w:t xml:space="preserve"> </w:t>
      </w:r>
      <w:r>
        <w:rPr>
          <w:b/>
          <w:bCs/>
        </w:rPr>
        <w:t xml:space="preserve">Moderate Shielded Laboratory Field (</w:t>
      </w:r>
      <m:oMath>
        <m:r>
          <m:t>10</m:t>
        </m:r>
        <m:r>
          <m:rPr>
            <m:nor/>
            <m:sty m:val="p"/>
          </m:rPr>
          <m:t> nT</m:t>
        </m:r>
      </m:oMath>
      <w:r>
        <w:rPr>
          <w:b/>
          <w:bCs/>
        </w:rPr>
        <w:t xml:space="preserve">):</w:t>
      </w:r>
    </w:p>
    <w:p>
      <w:pPr>
        <w:pStyle w:val="BodyText"/>
      </w:pPr>
      <m:oMathPara>
        <m:oMathParaPr>
          <m:jc m:val="center"/>
        </m:oMathParaPr>
        <m:oMath>
          <m:sSub>
            <m:e>
              <m:r>
                <m:t>ν</m:t>
              </m:r>
            </m:e>
            <m:sub>
              <m:r>
                <m:t>L</m:t>
              </m:r>
            </m:sub>
          </m:sSub>
          <m:r>
            <m:rPr>
              <m:sty m:val="p"/>
            </m:rPr>
            <m:t>≈</m:t>
          </m:r>
          <m:r>
            <m:t>280.2</m:t>
          </m:r>
          <m:r>
            <m:rPr>
              <m:nor/>
              <m:sty m:val="p"/>
            </m:rPr>
            <m:t> Hz</m:t>
          </m:r>
          <m:r>
            <m:rPr>
              <m:sty m:val="p"/>
            </m:rPr>
            <m:t>,</m:t>
          </m:r>
          <m:r>
            <m:t> </m:t>
          </m:r>
          <m:sSub>
            <m:e>
              <m:r>
                <m:t>τ</m:t>
              </m:r>
            </m:e>
            <m:sub>
              <m:r>
                <m:t>L</m:t>
              </m:r>
            </m:sub>
          </m:sSub>
          <m:r>
            <m:rPr>
              <m:sty m:val="p"/>
            </m:rPr>
            <m:t>≈</m:t>
          </m:r>
          <m:r>
            <m:t>3.57</m:t>
          </m:r>
          <m:r>
            <m:rPr>
              <m:nor/>
              <m:sty m:val="p"/>
            </m:rPr>
            <m:t> ms</m:t>
          </m:r>
        </m:oMath>
      </m:oMathPara>
    </w:p>
    <w:p>
      <w:pPr>
        <w:pStyle w:val="FirstParagraph"/>
      </w:pPr>
      <w:r>
        <w:t xml:space="preserve">This rigorous calculation demonstrates that in a</w:t>
      </w:r>
      <w:r>
        <w:t xml:space="preserve"> </w:t>
      </w:r>
      <m:oMath>
        <m:r>
          <m:t>1</m:t>
        </m:r>
        <m:r>
          <m:rPr>
            <m:nor/>
            <m:sty m:val="p"/>
          </m:rPr>
          <m:t> nT</m:t>
        </m:r>
      </m:oMath>
      <w:r>
        <w:t xml:space="preserve"> </w:t>
      </w:r>
      <w:r>
        <w:t xml:space="preserve">lunar near-null field, the Larmor precession period (</w:t>
      </w:r>
      <m:oMath>
        <m:sSub>
          <m:e>
            <m:r>
              <m:t>τ</m:t>
            </m:r>
          </m:e>
          <m:sub>
            <m:r>
              <m:t>L</m:t>
            </m:r>
          </m:sub>
        </m:sSub>
        <m:r>
          <m:rPr>
            <m:sty m:val="p"/>
          </m:rPr>
          <m:t>≈</m:t>
        </m:r>
        <m:r>
          <m:t>35.7</m:t>
        </m:r>
        <m:r>
          <m:rPr>
            <m:nor/>
            <m:sty m:val="p"/>
          </m:rPr>
          <m:t> ms</m:t>
        </m:r>
      </m:oMath>
      <w:r>
        <w:t xml:space="preserve">) is</w:t>
      </w:r>
      <w:r>
        <w:t xml:space="preserve"> </w:t>
      </w:r>
      <w:r>
        <w:rPr>
          <w:b/>
          <w:bCs/>
        </w:rPr>
        <w:t xml:space="preserve">more than four orders of magnitude (</w:t>
      </w:r>
      <m:oMath>
        <m:r>
          <m:rPr>
            <m:sty m:val="p"/>
          </m:rPr>
          <m:t>&gt;</m:t>
        </m:r>
        <m:r>
          <m:t>35</m:t>
        </m:r>
        <m:r>
          <m:rPr>
            <m:sty m:val="p"/>
          </m:rPr>
          <m:t>,</m:t>
        </m:r>
        <m:r>
          <m:t>000</m:t>
        </m:r>
        <m:r>
          <m:rPr>
            <m:sty m:val="p"/>
          </m:rPr>
          <m:t>×</m:t>
        </m:r>
      </m:oMath>
      <w:r>
        <w:rPr>
          <w:b/>
          <w:bCs/>
        </w:rPr>
        <w:t xml:space="preserve">) slower</w:t>
      </w:r>
      <w:r>
        <w:t xml:space="preserve"> </w:t>
      </w:r>
      <w:r>
        <w:t xml:space="preserve">than the lifetime of typical transient radical pairs (</w:t>
      </w:r>
      <m:oMath>
        <m:r>
          <m:rPr>
            <m:sty m:val="p"/>
          </m:rPr>
          <m:t>∼</m:t>
        </m:r>
        <m:r>
          <m:t>1</m:t>
        </m:r>
        <m:r>
          <m:t> </m:t>
        </m:r>
        <m:r>
          <m:t>μ</m:t>
        </m:r>
        <m:r>
          <m:rPr>
            <m:nor/>
            <m:sty m:val="p"/>
          </m:rPr>
          <m:t>s</m:t>
        </m:r>
      </m:oMath>
      <w:r>
        <w:t xml:space="preserve">). Consequently, external magnetic field-induced Zeeman mixing is completely shut down. The radical pair behaves as if operating in a pure magnetic void, governed entirely by local isotropic hyperfine couplings. This biophysical threshold formally justifies our a priori classification of fields below</w:t>
      </w:r>
      <w:r>
        <w:t xml:space="preserve"> </w:t>
      </w:r>
      <m:oMath>
        <m:r>
          <m:t>1</m:t>
        </m:r>
        <m:r>
          <m:rPr>
            <m:nor/>
            <m:sty m:val="p"/>
          </m:rPr>
          <m:t> nT</m:t>
        </m:r>
      </m:oMath>
      <w:r>
        <w:t xml:space="preserve"> </w:t>
      </w:r>
      <w:r>
        <w:t xml:space="preserve">as the</w:t>
      </w:r>
      <w:r>
        <w:t xml:space="preserve"> </w:t>
      </w:r>
      <w:r>
        <w:rPr>
          <w:b/>
          <w:bCs/>
        </w:rPr>
        <w:t xml:space="preserve">Deep Near-Null</w:t>
      </w:r>
      <w:r>
        <w:t xml:space="preserve"> </w:t>
      </w:r>
      <w:r>
        <w:t xml:space="preserve">regime.</w:t>
      </w:r>
    </w:p>
    <w:p>
      <w:r>
        <w:pict>
          <v:rect style="width:0;height:1.5pt" o:hralign="center" o:hrstd="t" o:hr="t"/>
        </w:pict>
      </w:r>
    </w:p>
    <w:bookmarkEnd w:id="37"/>
    <w:bookmarkEnd w:id="38"/>
    <w:bookmarkStart w:id="45" w:name="X915f1a2d9830eb72a477455a9e4294d4334108e"/>
    <w:p>
      <w:pPr>
        <w:pStyle w:val="Heading2"/>
      </w:pPr>
      <w:r>
        <w:t xml:space="preserve">5. Multi-Stressor Convergence: The</w:t>
      </w:r>
      <w:r>
        <w:t xml:space="preserve"> </w:t>
      </w:r>
      <m:oMath>
        <m:sSub>
          <m:e>
            <m:r>
              <m:rPr>
                <m:nor/>
                <m:sty m:val="p"/>
              </m:rPr>
              <m:t>CO</m:t>
            </m:r>
          </m:e>
          <m:sub>
            <m:r>
              <m:t>2</m:t>
            </m:r>
          </m:sub>
        </m:sSub>
        <m:r>
          <m:rPr>
            <m:sty m:val="p"/>
          </m:rPr>
          <m:t>↔</m:t>
        </m:r>
        <m:sSub>
          <m:e>
            <m:r>
              <m:rPr>
                <m:nor/>
                <m:sty m:val="p"/>
              </m:rPr>
              <m:t>O</m:t>
            </m:r>
          </m:e>
          <m:sub>
            <m:r>
              <m:t>2</m:t>
            </m:r>
          </m:sub>
        </m:sSub>
        <m:r>
          <m:rPr>
            <m:sty m:val="p"/>
          </m:rPr>
          <m:t>↔</m:t>
        </m:r>
        <m:r>
          <m:rPr>
            <m:nor/>
            <m:sty m:val="p"/>
          </m:rPr>
          <m:t>ROS</m:t>
        </m:r>
      </m:oMath>
      <w:r>
        <w:t xml:space="preserve"> </w:t>
      </w:r>
      <w:r>
        <w:t xml:space="preserve">Nexus</w:t>
      </w:r>
    </w:p>
    <w:p>
      <w:pPr>
        <w:pStyle w:val="FirstParagraph"/>
      </w:pPr>
      <w:r>
        <w:t xml:space="preserve">In a lunar agricultural module, a near-null magnetic field will never act in isolation. It will operate concurrently with two defining planetary spaceflight variables:</w:t>
      </w:r>
      <w:r>
        <w:t xml:space="preserve"> </w:t>
      </w:r>
      <w:r>
        <w:rPr>
          <w:b/>
          <w:bCs/>
        </w:rPr>
        <w:t xml:space="preserve">Exploration Atmosphere (hypobaric gas composition)</w:t>
      </w:r>
      <w:r>
        <w:t xml:space="preserve"> </w:t>
      </w:r>
      <w:r>
        <w:t xml:space="preserve">and</w:t>
      </w:r>
      <w:r>
        <w:t xml:space="preserve"> </w:t>
      </w:r>
      <w:r>
        <w:rPr>
          <w:b/>
          <w:bCs/>
        </w:rPr>
        <w:t xml:space="preserve">Ionizing Radiation (Galactic Cosmic Radiation and Solar Particle Events)</w:t>
      </w:r>
      <w:r>
        <w:t xml:space="preserve"> </w:t>
      </w:r>
      <w:r>
        <w:t xml:space="preserve">[7,8,66] (Figure 5a).</w:t>
      </w:r>
    </w:p>
    <w:p>
      <w:pPr>
        <w:pStyle w:val="BodyText"/>
      </w:pPr>
      <w:r>
        <w:t xml:space="preserve">We establish that these disparate environmental stimuli converge upon the</w:t>
      </w:r>
      <w:r>
        <w:t xml:space="preserve"> </w:t>
      </w:r>
      <w:r>
        <w:rPr>
          <w:b/>
          <w:bCs/>
        </w:rPr>
        <w:t xml:space="preserve">exact same organellar bioenergetic engine: the</w:t>
      </w:r>
      <w:r>
        <w:rPr>
          <w:b/>
          <w:bCs/>
        </w:rPr>
        <w:t xml:space="preserve"> </w:t>
      </w:r>
      <m:oMath>
        <m:sSub>
          <m:e>
            <m:r>
              <m:rPr>
                <m:nor/>
                <m:sty m:val="p"/>
              </m:rPr>
              <m:t>CO</m:t>
            </m:r>
          </m:e>
          <m:sub>
            <m:r>
              <m:t>2</m:t>
            </m:r>
          </m:sub>
        </m:sSub>
        <m:r>
          <m:rPr>
            <m:sty m:val="p"/>
          </m:rPr>
          <m:t>↔</m:t>
        </m:r>
        <m:sSub>
          <m:e>
            <m:r>
              <m:rPr>
                <m:nor/>
                <m:sty m:val="p"/>
              </m:rPr>
              <m:t>O</m:t>
            </m:r>
          </m:e>
          <m:sub>
            <m:r>
              <m:t>2</m:t>
            </m:r>
          </m:sub>
        </m:sSub>
        <m:r>
          <m:rPr>
            <m:sty m:val="p"/>
          </m:rPr>
          <m:t>↔</m:t>
        </m:r>
        <m:r>
          <m:rPr>
            <m:nor/>
            <m:sty m:val="p"/>
          </m:rPr>
          <m:t>ROS</m:t>
        </m:r>
      </m:oMath>
      <w:r>
        <w:rPr>
          <w:b/>
          <w:bCs/>
        </w:rPr>
        <w:t xml:space="preserve"> </w:t>
      </w:r>
      <w:r>
        <w:rPr>
          <w:b/>
          <w:bCs/>
        </w:rPr>
        <w:t xml:space="preserve">nexus</w:t>
      </w:r>
      <w:r>
        <w:t xml:space="preserve"> </w:t>
      </w:r>
      <w:r>
        <w:t xml:space="preserve">(Figure 5).</w:t>
      </w:r>
    </w:p>
    <w:p>
      <w:pPr>
        <w:pStyle w:val="BodyText"/>
      </w:pPr>
      <w:r>
        <w:drawing>
          <wp:inline>
            <wp:extent cx="5334000" cy="4362466"/>
            <wp:effectExtent b="0" l="0" r="0" t="0"/>
            <wp:docPr descr="Figure 5" title="" id="40" name="Picture"/>
            <a:graphic>
              <a:graphicData uri="http://schemas.openxmlformats.org/drawingml/2006/picture">
                <pic:pic>
                  <pic:nvPicPr>
                    <pic:cNvPr descr="/Users/drb_laptop/Documents/NMF_review/figures/Fig5_multistressor_co2_o2_ros_nexus.png" id="41" name="Picture"/>
                    <pic:cNvPicPr>
                      <a:picLocks noChangeArrowheads="1" noChangeAspect="1"/>
                    </pic:cNvPicPr>
                  </pic:nvPicPr>
                  <pic:blipFill>
                    <a:blip r:embed="rId39"/>
                    <a:stretch>
                      <a:fillRect/>
                    </a:stretch>
                  </pic:blipFill>
                  <pic:spPr bwMode="auto">
                    <a:xfrm>
                      <a:off x="0" y="0"/>
                      <a:ext cx="5334000" cy="4362466"/>
                    </a:xfrm>
                    <a:prstGeom prst="rect">
                      <a:avLst/>
                    </a:prstGeom>
                    <a:noFill/>
                    <a:ln w="9525">
                      <a:noFill/>
                      <a:headEnd/>
                      <a:tailEnd/>
                    </a:ln>
                  </pic:spPr>
                </pic:pic>
              </a:graphicData>
            </a:graphic>
          </wp:inline>
        </w:drawing>
      </w:r>
      <w:r>
        <w:t xml:space="preserve"> </w:t>
      </w:r>
      <w:r>
        <w:rPr>
          <w:b/>
          <w:bCs/>
        </w:rPr>
        <w:t xml:space="preserve">Figure 5 | Multi-stressor convergence on the organellar</w:t>
      </w:r>
      <w:r>
        <w:rPr>
          <w:b/>
          <w:bCs/>
        </w:rPr>
        <w:t xml:space="preserve"> </w:t>
      </w:r>
      <m:oMath>
        <m:sSub>
          <m:e>
            <m:r>
              <m:rPr>
                <m:nor/>
                <m:sty m:val="p"/>
              </m:rPr>
              <m:t>CO</m:t>
            </m:r>
          </m:e>
          <m:sub>
            <m:r>
              <m:t>2</m:t>
            </m:r>
          </m:sub>
        </m:sSub>
        <m:r>
          <m:rPr>
            <m:sty m:val="p"/>
          </m:rPr>
          <m:t>↔</m:t>
        </m:r>
        <m:sSub>
          <m:e>
            <m:r>
              <m:rPr>
                <m:nor/>
                <m:sty m:val="p"/>
              </m:rPr>
              <m:t>O</m:t>
            </m:r>
          </m:e>
          <m:sub>
            <m:r>
              <m:t>2</m:t>
            </m:r>
          </m:sub>
        </m:sSub>
        <m:r>
          <m:rPr>
            <m:sty m:val="p"/>
          </m:rPr>
          <m:t>↔</m:t>
        </m:r>
        <m:r>
          <m:rPr>
            <m:nor/>
            <m:sty m:val="p"/>
          </m:rPr>
          <m:t>ROS</m:t>
        </m:r>
      </m:oMath>
      <w:r>
        <w:rPr>
          <w:b/>
          <w:bCs/>
        </w:rPr>
        <w:t xml:space="preserve"> </w:t>
      </w:r>
      <w:r>
        <w:rPr>
          <w:b/>
          <w:bCs/>
        </w:rPr>
        <w:t xml:space="preserve">nexus.</w:t>
      </w:r>
      <w:r>
        <w:br/>
      </w:r>
      <w:r>
        <w:rPr>
          <w:b/>
          <w:bCs/>
        </w:rPr>
        <w:t xml:space="preserve">(a) Environmental Multi-Stressor Space:</w:t>
      </w:r>
      <w:r>
        <w:t xml:space="preserve"> </w:t>
      </w:r>
      <w:r>
        <w:t xml:space="preserve">Physical parameters contrasting terrestrial baseline conditions (</w:t>
      </w:r>
      <m:oMath>
        <m:r>
          <m:t>101.3</m:t>
        </m:r>
        <m:r>
          <m:rPr>
            <m:nor/>
            <m:sty m:val="p"/>
          </m:rPr>
          <m:t> kPa</m:t>
        </m:r>
      </m:oMath>
      <w:r>
        <w:t xml:space="preserve">,</w:t>
      </w:r>
      <w:r>
        <w:t xml:space="preserve"> </w:t>
      </w:r>
      <m:oMath>
        <m:r>
          <m:t>21</m:t>
        </m:r>
        <m:r>
          <m:rPr>
            <m:sty m:val="p"/>
          </m:rPr>
          <m:t>%</m:t>
        </m:r>
        <m:r>
          <m:t> </m:t>
        </m:r>
        <m:sSub>
          <m:e>
            <m:r>
              <m:rPr>
                <m:nor/>
                <m:sty m:val="p"/>
              </m:rPr>
              <m:t>O</m:t>
            </m:r>
          </m:e>
          <m:sub>
            <m:r>
              <m:t>2</m:t>
            </m:r>
          </m:sub>
        </m:sSub>
      </m:oMath>
      <w:r>
        <w:t xml:space="preserve">,</w:t>
      </w:r>
      <w:r>
        <w:t xml:space="preserve"> </w:t>
      </w:r>
      <m:oMath>
        <m:r>
          <m:t>420</m:t>
        </m:r>
        <m:sSub>
          <m:e>
            <m:r>
              <m:rPr>
                <m:nor/>
                <m:sty m:val="p"/>
              </m:rPr>
              <m:t> ppm CO</m:t>
            </m:r>
          </m:e>
          <m:sub>
            <m:r>
              <m:t>2</m:t>
            </m:r>
          </m:sub>
        </m:sSub>
      </m:oMath>
      <w:r>
        <w:t xml:space="preserve">,</w:t>
      </w:r>
      <w:r>
        <w:t xml:space="preserve"> </w:t>
      </w:r>
      <m:oMath>
        <m:r>
          <m:t>50</m:t>
        </m:r>
        <m:r>
          <m:t> </m:t>
        </m:r>
        <m:r>
          <m:t>μ</m:t>
        </m:r>
        <m:r>
          <m:rPr>
            <m:nor/>
            <m:sty m:val="p"/>
          </m:rPr>
          <m:t>T</m:t>
        </m:r>
      </m:oMath>
      <w:r>
        <w:t xml:space="preserve"> </w:t>
      </w:r>
      <w:r>
        <w:t xml:space="preserve">GMF) against NASA exploration architectures (</w:t>
      </w:r>
      <m:oMath>
        <m:r>
          <m:t>56.5</m:t>
        </m:r>
        <m:r>
          <m:rPr>
            <m:nor/>
            <m:sty m:val="p"/>
          </m:rPr>
          <m:t> kPa</m:t>
        </m:r>
        <m:r>
          <m:rPr>
            <m:sty m:val="p"/>
          </m:rPr>
          <m:t>/</m:t>
        </m:r>
        <m:r>
          <m:t>8.2</m:t>
        </m:r>
        <m:r>
          <m:rPr>
            <m:nor/>
            <m:sty m:val="p"/>
          </m:rPr>
          <m:t> psia</m:t>
        </m:r>
      </m:oMath>
      <w:r>
        <w:t xml:space="preserve"> </w:t>
      </w:r>
      <w:r>
        <w:t xml:space="preserve">to</w:t>
      </w:r>
      <w:r>
        <w:t xml:space="preserve"> </w:t>
      </w:r>
      <m:oMath>
        <m:r>
          <m:t>34</m:t>
        </m:r>
        <m:r>
          <m:rPr>
            <m:nor/>
            <m:sty m:val="p"/>
          </m:rPr>
          <m:t> kPa</m:t>
        </m:r>
      </m:oMath>
      <w:r>
        <w:t xml:space="preserve">,</w:t>
      </w:r>
      <w:r>
        <w:t xml:space="preserve"> </w:t>
      </w:r>
      <m:oMath>
        <m:r>
          <m:t>34</m:t>
        </m:r>
        <m:r>
          <m:rPr>
            <m:sty m:val="p"/>
          </m:rPr>
          <m:t>%</m:t>
        </m:r>
        <m:r>
          <m:t> </m:t>
        </m:r>
        <m:sSub>
          <m:e>
            <m:r>
              <m:rPr>
                <m:nor/>
                <m:sty m:val="p"/>
              </m:rPr>
              <m:t>O</m:t>
            </m:r>
          </m:e>
          <m:sub>
            <m:r>
              <m:t>2</m:t>
            </m:r>
          </m:sub>
        </m:sSub>
      </m:oMath>
      <w:r>
        <w:t xml:space="preserve">,</w:t>
      </w:r>
      <w:r>
        <w:t xml:space="preserve"> </w:t>
      </w:r>
      <m:oMath>
        <m:r>
          <m:t>1200</m:t>
        </m:r>
        <m:r>
          <m:rPr>
            <m:nor/>
            <m:sty m:val="p"/>
          </m:rPr>
          <m:t>–</m:t>
        </m:r>
        <m:r>
          <m:t>3000</m:t>
        </m:r>
        <m:sSub>
          <m:e>
            <m:r>
              <m:rPr>
                <m:nor/>
                <m:sty m:val="p"/>
              </m:rPr>
              <m:t> ppm CO</m:t>
            </m:r>
          </m:e>
          <m:sub>
            <m:r>
              <m:t>2</m:t>
            </m:r>
          </m:sub>
        </m:sSub>
      </m:oMath>
      <w:r>
        <w:t xml:space="preserve">,</w:t>
      </w:r>
      <w:r>
        <w:t xml:space="preserve"> </w:t>
      </w:r>
      <m:oMath>
        <m:r>
          <m:rPr>
            <m:sty m:val="p"/>
          </m:rPr>
          <m:t>&lt;</m:t>
        </m:r>
        <m:r>
          <m:t>0.82</m:t>
        </m:r>
        <m:r>
          <m:rPr>
            <m:nor/>
            <m:sty m:val="p"/>
          </m:rPr>
          <m:t> nT</m:t>
        </m:r>
      </m:oMath>
      <w:r>
        <w:t xml:space="preserve"> </w:t>
      </w:r>
      <w:r>
        <w:t xml:space="preserve">lunar crustal void, and decoupled radiation regimes: chronic GCR background</w:t>
      </w:r>
      <w:r>
        <w:t xml:space="preserve"> </w:t>
      </w:r>
      <m:oMath>
        <m:r>
          <m:t>60</m:t>
        </m:r>
        <m:r>
          <m:rPr>
            <m:nor/>
            <m:sty m:val="p"/>
          </m:rPr>
          <m:t>–</m:t>
        </m:r>
        <m:r>
          <m:t>100</m:t>
        </m:r>
        <m:r>
          <m:rPr>
            <m:nor/>
            <m:sty m:val="p"/>
          </m:rPr>
          <m:t> mGy/year</m:t>
        </m:r>
      </m:oMath>
      <w:r>
        <w:t xml:space="preserve"> </w:t>
      </w:r>
      <w:r>
        <w:t xml:space="preserve">vs acute SPE events</w:t>
      </w:r>
      <w:r>
        <w:t xml:space="preserve"> </w:t>
      </w:r>
      <m:oMath>
        <m:r>
          <m:t>0.5</m:t>
        </m:r>
        <m:r>
          <m:rPr>
            <m:nor/>
            <m:sty m:val="p"/>
          </m:rPr>
          <m:t>–</m:t>
        </m:r>
        <m:r>
          <m:t>2</m:t>
        </m:r>
        <m:r>
          <m:rPr>
            <m:nor/>
            <m:sty m:val="p"/>
          </m:rPr>
          <m:t> Gy</m:t>
        </m:r>
      </m:oMath>
      <w:r>
        <w:t xml:space="preserve">).</w:t>
      </w:r>
      <w:r>
        <w:br/>
      </w:r>
      <w:r>
        <w:rPr>
          <w:b/>
          <w:bCs/>
        </w:rPr>
        <w:t xml:space="preserve">(b) The Time-Gated Organellar</w:t>
      </w:r>
      <w:r>
        <w:rPr>
          <w:b/>
          <w:bCs/>
        </w:rPr>
        <w:t xml:space="preserve"> </w:t>
      </w:r>
      <m:oMath>
        <m:sSub>
          <m:e>
            <m:r>
              <m:rPr>
                <m:nor/>
                <m:sty m:val="p"/>
              </m:rPr>
              <m:t>CO</m:t>
            </m:r>
          </m:e>
          <m:sub>
            <m:r>
              <m:t>2</m:t>
            </m:r>
          </m:sub>
        </m:sSub>
        <m:r>
          <m:rPr>
            <m:sty m:val="p"/>
          </m:rPr>
          <m:t>↔</m:t>
        </m:r>
        <m:sSub>
          <m:e>
            <m:r>
              <m:rPr>
                <m:nor/>
                <m:sty m:val="p"/>
              </m:rPr>
              <m:t>O</m:t>
            </m:r>
          </m:e>
          <m:sub>
            <m:r>
              <m:t>2</m:t>
            </m:r>
          </m:sub>
        </m:sSub>
        <m:r>
          <m:rPr>
            <m:sty m:val="p"/>
          </m:rPr>
          <m:t>↔</m:t>
        </m:r>
        <m:r>
          <m:rPr>
            <m:nor/>
            <m:sty m:val="p"/>
          </m:rPr>
          <m:t>ROS</m:t>
        </m:r>
      </m:oMath>
      <w:r>
        <w:rPr>
          <w:b/>
          <w:bCs/>
        </w:rPr>
        <w:t xml:space="preserve"> </w:t>
      </w:r>
      <w:r>
        <w:rPr>
          <w:b/>
          <w:bCs/>
        </w:rPr>
        <w:t xml:space="preserve">Nexus:</w:t>
      </w:r>
      <w:r>
        <w:t xml:space="preserve"> </w:t>
      </w:r>
      <w:r>
        <w:t xml:space="preserve">Exploration atmosphere gas balance shifts organellar pathways across developmental stages: Phase I (0–72 h Heterotrophic: RuBisCO dormant, mitochondrial TCA dark respiration dominates); Phase II (72–120 h Greening: RuBisCO activates). Elevated</w:t>
      </w:r>
      <w:r>
        <w:t xml:space="preserve"> </w:t>
      </w:r>
      <m:oMath>
        <m:sSub>
          <m:e>
            <m:r>
              <m:rPr>
                <m:nor/>
                <m:sty m:val="p"/>
              </m:rPr>
              <m:t>CO</m:t>
            </m:r>
          </m:e>
          <m:sub>
            <m:r>
              <m:t>2</m:t>
            </m:r>
          </m:sub>
        </m:sSub>
      </m:oMath>
      <w:r>
        <w:t xml:space="preserve"> </w:t>
      </w:r>
      <w:r>
        <w:t xml:space="preserve">(</w:t>
      </w:r>
      <m:oMath>
        <m:r>
          <m:t>1200</m:t>
        </m:r>
        <m:r>
          <m:rPr>
            <m:nor/>
            <m:sty m:val="p"/>
          </m:rPr>
          <m:t>–</m:t>
        </m:r>
        <m:r>
          <m:t>3000</m:t>
        </m:r>
        <m:r>
          <m:rPr>
            <m:nor/>
            <m:sty m:val="p"/>
          </m:rPr>
          <m:t> ppm</m:t>
        </m:r>
      </m:oMath>
      <w:r>
        <w:t xml:space="preserve">) favors RuBisCO carboxylation over oxygenation, suppressing photorespiratory glycolate</w:t>
      </w:r>
      <w:r>
        <w:t xml:space="preserve"> </w:t>
      </w:r>
      <m:oMath>
        <m:sSub>
          <m:e>
            <m:r>
              <m:rPr>
                <m:nor/>
                <m:sty m:val="p"/>
              </m:rPr>
              <m:t>H</m:t>
            </m:r>
          </m:e>
          <m:sub>
            <m:r>
              <m:t>2</m:t>
            </m:r>
          </m:sub>
        </m:sSub>
        <m:sSub>
          <m:e>
            <m:r>
              <m:rPr>
                <m:nor/>
                <m:sty m:val="p"/>
              </m:rPr>
              <m:t>O</m:t>
            </m:r>
          </m:e>
          <m:sub>
            <m:r>
              <m:t>2</m:t>
            </m:r>
          </m:sub>
        </m:sSub>
      </m:oMath>
      <w:r>
        <w:t xml:space="preserve"> </w:t>
      </w:r>
      <w:r>
        <w:t xml:space="preserve">production. In mitochondria, hypobaric diffusion and altered</w:t>
      </w:r>
      <w:r>
        <w:t xml:space="preserve"> </w:t>
      </w:r>
      <m:oMath>
        <m:r>
          <m:t>p</m:t>
        </m:r>
        <m:sSub>
          <m:e>
            <m:r>
              <m:rPr>
                <m:nor/>
                <m:sty m:val="p"/>
              </m:rPr>
              <m:t>O</m:t>
            </m:r>
          </m:e>
          <m:sub>
            <m:r>
              <m:t>2</m:t>
            </m:r>
          </m:sub>
        </m:sSub>
      </m:oMath>
      <w:r>
        <w:t xml:space="preserve"> </w:t>
      </w:r>
      <w:r>
        <w:t xml:space="preserve">balance cytochrome</w:t>
      </w:r>
      <w:r>
        <w:t xml:space="preserve"> </w:t>
      </w:r>
      <m:oMath>
        <m:r>
          <m:t>c</m:t>
        </m:r>
      </m:oMath>
      <w:r>
        <w:t xml:space="preserve"> </w:t>
      </w:r>
      <w:r>
        <w:t xml:space="preserve">oxidase (COX) against Alternative Oxidase (AOX). GCR radiolysis generates hydroxyl radicals (</w:t>
      </w:r>
      <m:oMath>
        <m:sSup>
          <m:e>
            <m:r>
              <m:rPr>
                <m:nor/>
                <m:sty m:val="p"/>
              </m:rPr>
              <m:t>OH</m:t>
            </m:r>
          </m:e>
          <m:sup>
            <m:r>
              <m:rPr>
                <m:sty m:val="p"/>
              </m:rPr>
              <m:t>•</m:t>
            </m:r>
          </m:sup>
        </m:sSup>
      </m:oMath>
      <w:r>
        <w:t xml:space="preserve">), while NNMF modulates flavin/Fe-S spin dynamics at Complex I/III. The resulting superoxide (</w:t>
      </w:r>
      <m:oMath>
        <m:sSubSup>
          <m:e>
            <m:r>
              <m:t>O</m:t>
            </m:r>
          </m:e>
          <m:sub>
            <m:r>
              <m:t>2</m:t>
            </m:r>
          </m:sub>
          <m:sup>
            <m:r>
              <m:rPr>
                <m:sty m:val="p"/>
              </m:rPr>
              <m:t>•</m:t>
            </m:r>
            <m:r>
              <m:rPr>
                <m:sty m:val="p"/>
              </m:rPr>
              <m:t>−</m:t>
            </m:r>
          </m:sup>
        </m:sSubSup>
      </m:oMath>
      <w:r>
        <w:t xml:space="preserve">) and</w:t>
      </w:r>
      <w:r>
        <w:t xml:space="preserve"> </w:t>
      </w:r>
      <m:oMath>
        <m:sSub>
          <m:e>
            <m:r>
              <m:rPr>
                <m:nor/>
                <m:sty m:val="p"/>
              </m:rPr>
              <m:t>H</m:t>
            </m:r>
          </m:e>
          <m:sub>
            <m:r>
              <m:t>2</m:t>
            </m:r>
          </m:sub>
        </m:sSub>
        <m:sSub>
          <m:e>
            <m:r>
              <m:rPr>
                <m:nor/>
                <m:sty m:val="p"/>
              </m:rPr>
              <m:t>O</m:t>
            </m:r>
          </m:e>
          <m:sub>
            <m:r>
              <m:t>2</m:t>
            </m:r>
          </m:sub>
        </m:sSub>
      </m:oMath>
      <w:r>
        <w:t xml:space="preserve"> </w:t>
      </w:r>
      <w:r>
        <w:t xml:space="preserve">flux is buffered by AOX (</w:t>
      </w:r>
      <w:r>
        <w:rPr>
          <w:i/>
          <w:iCs/>
        </w:rPr>
        <w:t xml:space="preserve">AOX1D</w:t>
      </w:r>
      <w:r>
        <w:t xml:space="preserve">) and scavenged by Catalase (</w:t>
      </w:r>
      <w:r>
        <w:rPr>
          <w:i/>
          <w:iCs/>
        </w:rPr>
        <w:t xml:space="preserve">CAT3</w:t>
      </w:r>
      <w:r>
        <w:t xml:space="preserve">).</w:t>
      </w:r>
      <w:r>
        <w:br/>
      </w:r>
      <w:r>
        <w:rPr>
          <w:b/>
          <w:bCs/>
        </w:rPr>
        <w:t xml:space="preserve">(c) Multi-Omics Empirical Overlap (OSDR OSD-782 vs. Parmagnani 2022 NNMF):</w:t>
      </w:r>
      <w:r>
        <w:t xml:space="preserve"> </w:t>
      </w:r>
      <w:r>
        <w:t xml:space="preserve">Concordant transcriptional response during peak operational stress response windows (24–72 h) between ionizing radiation (cesium-137 gamma, 1 Gy, orange bars) and near-null field exposure (~30 nT, blue bars) in</w:t>
      </w:r>
      <w:r>
        <w:t xml:space="preserve"> </w:t>
      </w:r>
      <w:r>
        <w:rPr>
          <w:i/>
          <w:iCs/>
        </w:rPr>
        <w:t xml:space="preserve">Arabidopsis</w:t>
      </w:r>
      <w:r>
        <w:t xml:space="preserve">. Both stressors induce robust upregulation of Alternative Oxidase 1D (</w:t>
      </w:r>
      <w:r>
        <w:rPr>
          <w:i/>
          <w:iCs/>
        </w:rPr>
        <w:t xml:space="preserve">AOX1D</w:t>
      </w:r>
      <w:r>
        <w:t xml:space="preserve">, AT1G32350;</w:t>
      </w:r>
      <w:r>
        <w:t xml:space="preserve"> </w:t>
      </w:r>
      <m:oMath>
        <m:r>
          <m:rPr>
            <m:sty m:val="p"/>
          </m:rPr>
          <m:t>+</m:t>
        </m:r>
        <m:r>
          <m:t>3.96</m:t>
        </m:r>
        <m:r>
          <m:t> </m:t>
        </m:r>
        <m:sSub>
          <m:e>
            <m:r>
              <m:rPr>
                <m:sty m:val="p"/>
              </m:rPr>
              <m:t>log</m:t>
            </m:r>
          </m:e>
          <m:sub>
            <m:r>
              <m:t>2</m:t>
            </m:r>
          </m:sub>
        </m:sSub>
        <m:r>
          <m:rPr>
            <m:nor/>
            <m:sty m:val="p"/>
          </m:rPr>
          <m:t>FC</m:t>
        </m:r>
      </m:oMath>
      <w:r>
        <w:t xml:space="preserve"> </w:t>
      </w:r>
      <w:r>
        <w:t xml:space="preserve">in radiation,</w:t>
      </w:r>
      <w:r>
        <w:t xml:space="preserve"> </w:t>
      </w:r>
      <m:oMath>
        <m:r>
          <m:rPr>
            <m:sty m:val="p"/>
          </m:rPr>
          <m:t>+</m:t>
        </m:r>
        <m:r>
          <m:t>0.73</m:t>
        </m:r>
      </m:oMath>
      <w:r>
        <w:t xml:space="preserve"> </w:t>
      </w:r>
      <w:r>
        <w:t xml:space="preserve">in NNMF) and Catalase 3 (</w:t>
      </w:r>
      <w:r>
        <w:rPr>
          <w:i/>
          <w:iCs/>
        </w:rPr>
        <w:t xml:space="preserve">CAT3</w:t>
      </w:r>
      <w:r>
        <w:t xml:space="preserve">, AT1G20630;</w:t>
      </w:r>
      <w:r>
        <w:t xml:space="preserve"> </w:t>
      </w:r>
      <m:oMath>
        <m:r>
          <m:rPr>
            <m:sty m:val="p"/>
          </m:rPr>
          <m:t>+</m:t>
        </m:r>
        <m:r>
          <m:t>0.91</m:t>
        </m:r>
      </m:oMath>
      <w:r>
        <w:t xml:space="preserve"> </w:t>
      </w:r>
      <w:r>
        <w:t xml:space="preserve">in radiation,</w:t>
      </w:r>
      <w:r>
        <w:t xml:space="preserve"> </w:t>
      </w:r>
      <m:oMath>
        <m:r>
          <m:rPr>
            <m:sty m:val="p"/>
          </m:rPr>
          <m:t>+</m:t>
        </m:r>
        <m:r>
          <m:t>0.94</m:t>
        </m:r>
      </m:oMath>
      <w:r>
        <w:t xml:space="preserve"> </w:t>
      </w:r>
      <w:r>
        <w:t xml:space="preserve">in NNMF). Non-concordant loci (</w:t>
      </w:r>
      <w:r>
        <w:rPr>
          <w:i/>
          <w:iCs/>
        </w:rPr>
        <w:t xml:space="preserve">AOX2</w:t>
      </w:r>
      <w:r>
        <w:t xml:space="preserve">,</w:t>
      </w:r>
      <w:r>
        <w:t xml:space="preserve"> </w:t>
      </w:r>
      <w:r>
        <w:rPr>
          <w:i/>
          <w:iCs/>
        </w:rPr>
        <w:t xml:space="preserve">GSTU25</w:t>
      </w:r>
      <w:r>
        <w:t xml:space="preserve">) highlight gene-family divergence.</w:t>
      </w:r>
      <w:r>
        <w:br/>
      </w:r>
      <w:r>
        <w:rPr>
          <w:b/>
          <w:bCs/>
        </w:rPr>
        <w:t xml:space="preserve">(d) Cross-Kingdom Spaceflight Convergence (Plant BLSS vs. Human Astronaut Health):</w:t>
      </w:r>
      <w:r>
        <w:t xml:space="preserve"> </w:t>
      </w:r>
      <w:r>
        <w:t xml:space="preserve">Conserved spaceflight mitochondrial phenotype. In plants, the mitochondrial ETC, AOX bypass, and Fe-S cluster turnover buffer hypomagnetic and radiation stress to preserve BLSS crop yield. In astronauts, mitochondrial dysregulation represents the single most conserved systemic spaceflight lesion (NASA Twins Study; da Silveira et al. [67]), linking plant bioenergetics directly to crew health and food security.</w:t>
      </w:r>
    </w:p>
    <w:bookmarkStart w:id="42" w:name="X13967509b9e9ca182013849e15c5f68d15ad3b5"/>
    <w:p>
      <w:pPr>
        <w:pStyle w:val="Heading3"/>
      </w:pPr>
      <w:r>
        <w:t xml:space="preserve">5.1 Time-Gated Bioenergetics: Phase I (0–72 h) vs. Phase II (72–120 h)</w:t>
      </w:r>
    </w:p>
    <w:p>
      <w:pPr>
        <w:pStyle w:val="FirstParagraph"/>
      </w:pPr>
      <w:r>
        <w:t xml:space="preserve">To understand how atmospheric gas composition interacts with magnetic stress, physiological arguments must be strictly time-gated by developmental phase:</w:t>
      </w:r>
      <w:r>
        <w:t xml:space="preserve"> </w:t>
      </w:r>
      <w:r>
        <w:t xml:space="preserve">-</w:t>
      </w:r>
      <w:r>
        <w:t xml:space="preserve"> </w:t>
      </w:r>
      <w:r>
        <w:rPr>
          <w:b/>
          <w:bCs/>
        </w:rPr>
        <w:t xml:space="preserve">Phase I (0–72 h Post-Imbibition, Heterotrophic Energy Window):</w:t>
      </w:r>
      <w:r>
        <w:t xml:space="preserve"> </w:t>
      </w:r>
      <w:r>
        <w:t xml:space="preserve">During seed imbibition, reserve mobilization, and initial radicle protrusion, chloroplasts are completely absent and the photosynthetic enzyme RuBisCO is inactive. Here, elevated cabin</w:t>
      </w:r>
      <w:r>
        <w:t xml:space="preserve"> </w:t>
      </w:r>
      <m:oMath>
        <m:sSub>
          <m:e>
            <m:r>
              <m:rPr>
                <m:nor/>
                <m:sty m:val="p"/>
              </m:rPr>
              <m:t>CO</m:t>
            </m:r>
          </m:e>
          <m:sub>
            <m:r>
              <m:t>2</m:t>
            </m:r>
          </m:sub>
        </m:sSub>
      </m:oMath>
      <w:r>
        <w:t xml:space="preserve"> </w:t>
      </w:r>
      <w:r>
        <w:t xml:space="preserve">(</w:t>
      </w:r>
      <m:oMath>
        <m:r>
          <m:t>1200</m:t>
        </m:r>
        <m:r>
          <m:rPr>
            <m:nor/>
            <m:sty m:val="p"/>
          </m:rPr>
          <m:t>–</m:t>
        </m:r>
        <m:r>
          <m:t>3000</m:t>
        </m:r>
        <m:r>
          <m:rPr>
            <m:nor/>
            <m:sty m:val="p"/>
          </m:rPr>
          <m:t> ppm</m:t>
        </m:r>
      </m:oMath>
      <w:r>
        <w:t xml:space="preserve">) cannot act via photorespiratory suppression. Instead,</w:t>
      </w:r>
      <w:r>
        <w:t xml:space="preserve"> </w:t>
      </w:r>
      <m:oMath>
        <m:sSub>
          <m:e>
            <m:r>
              <m:rPr>
                <m:nor/>
                <m:sty m:val="p"/>
              </m:rPr>
              <m:t>CO</m:t>
            </m:r>
          </m:e>
          <m:sub>
            <m:r>
              <m:t>2</m:t>
            </m:r>
          </m:sub>
        </m:sSub>
      </m:oMath>
      <w:r>
        <w:t xml:space="preserve"> </w:t>
      </w:r>
      <w:r>
        <w:t xml:space="preserve">acts via mitochondrial anaplerotic carboxylation (phosphoenolpyruvate carboxylase, PEPC) and tissue dark respiration, while hypobaric total pressure (</w:t>
      </w:r>
      <m:oMath>
        <m:r>
          <m:t>56.5</m:t>
        </m:r>
        <m:r>
          <m:rPr>
            <m:nor/>
            <m:sty m:val="p"/>
          </m:rPr>
          <m:t> kPa</m:t>
        </m:r>
      </m:oMath>
      <w:r>
        <w:t xml:space="preserve">) accelerates oxygen gas diffusivity through dense seed coats [8,66].</w:t>
      </w:r>
      <w:r>
        <w:t xml:space="preserve"> </w:t>
      </w:r>
      <w:r>
        <w:t xml:space="preserve">-</w:t>
      </w:r>
      <w:r>
        <w:t xml:space="preserve"> </w:t>
      </w:r>
      <w:r>
        <w:rPr>
          <w:b/>
          <w:bCs/>
        </w:rPr>
        <w:t xml:space="preserve">Phase II (72–120 h Post-Imbibition, Photomorphogenic Greening Window):</w:t>
      </w:r>
      <w:r>
        <w:t xml:space="preserve"> </w:t>
      </w:r>
      <w:r>
        <w:t xml:space="preserve">Once seedlings de-etiolate in the canopy light field, RuBisCO is synthesized in developing chloroplasts. In this phase, elevated</w:t>
      </w:r>
      <w:r>
        <w:t xml:space="preserve"> </w:t>
      </w:r>
      <m:oMath>
        <m:sSub>
          <m:e>
            <m:r>
              <m:rPr>
                <m:nor/>
                <m:sty m:val="p"/>
              </m:rPr>
              <m:t>CO</m:t>
            </m:r>
          </m:e>
          <m:sub>
            <m:r>
              <m:t>2</m:t>
            </m:r>
          </m:sub>
        </m:sSub>
      </m:oMath>
      <w:r>
        <w:t xml:space="preserve"> </w:t>
      </w:r>
      <w:r>
        <w:t xml:space="preserve">competitively inhibits RuBisCO oxygenase activity, drastically suppressing peroxisomal glycolate oxidase flux and cutting photorespiratory</w:t>
      </w:r>
      <w:r>
        <w:t xml:space="preserve"> </w:t>
      </w:r>
      <m:oMath>
        <m:sSub>
          <m:e>
            <m:r>
              <m:rPr>
                <m:nor/>
                <m:sty m:val="p"/>
              </m:rPr>
              <m:t>H</m:t>
            </m:r>
          </m:e>
          <m:sub>
            <m:r>
              <m:t>2</m:t>
            </m:r>
          </m:sub>
        </m:sSub>
        <m:sSub>
          <m:e>
            <m:r>
              <m:rPr>
                <m:nor/>
                <m:sty m:val="p"/>
              </m:rPr>
              <m:t>O</m:t>
            </m:r>
          </m:e>
          <m:sub>
            <m:r>
              <m:t>2</m:t>
            </m:r>
          </m:sub>
        </m:sSub>
      </m:oMath>
      <w:r>
        <w:t xml:space="preserve"> </w:t>
      </w:r>
      <w:r>
        <w:t xml:space="preserve">generation by</w:t>
      </w:r>
      <w:r>
        <w:t xml:space="preserve"> </w:t>
      </w:r>
      <m:oMath>
        <m:r>
          <m:rPr>
            <m:sty m:val="p"/>
          </m:rPr>
          <m:t>&gt;</m:t>
        </m:r>
        <m:r>
          <m:t>60</m:t>
        </m:r>
        <m:r>
          <m:rPr>
            <m:sty m:val="p"/>
          </m:rPr>
          <m:t>%</m:t>
        </m:r>
      </m:oMath>
      <w:r>
        <w:t xml:space="preserve"> </w:t>
      </w:r>
      <w:r>
        <w:t xml:space="preserve">[40,68]. Concurrently, mitochondria balance cytochrome</w:t>
      </w:r>
      <w:r>
        <w:t xml:space="preserve"> </w:t>
      </w:r>
      <m:oMath>
        <m:r>
          <m:t>c</m:t>
        </m:r>
      </m:oMath>
      <w:r>
        <w:t xml:space="preserve"> </w:t>
      </w:r>
      <w:r>
        <w:t xml:space="preserve">oxidase (COX) against Alternative Oxidase (AOX).</w:t>
      </w:r>
    </w:p>
    <w:bookmarkEnd w:id="42"/>
    <w:bookmarkStart w:id="43" w:name="X8bd8d9c8bf40fe763e50c27a4e3a434e76cac49"/>
    <w:p>
      <w:pPr>
        <w:pStyle w:val="Heading3"/>
      </w:pPr>
      <w:r>
        <w:t xml:space="preserve">5.2 Decoupling Chronic GCR from Acute SPE Radiation Regimes</w:t>
      </w:r>
    </w:p>
    <w:p>
      <w:pPr>
        <w:pStyle w:val="FirstParagraph"/>
      </w:pPr>
      <w:r>
        <w:t xml:space="preserve">A critical distinction must be drawn between chronic deep-space radiation background and acute solar events:</w:t>
      </w:r>
      <w:r>
        <w:t xml:space="preserve"> </w:t>
      </w:r>
      <w:r>
        <w:t xml:space="preserve">1.</w:t>
      </w:r>
      <w:r>
        <w:t xml:space="preserve"> </w:t>
      </w:r>
      <w:r>
        <w:rPr>
          <w:b/>
          <w:bCs/>
        </w:rPr>
        <w:t xml:space="preserve">Chronic Galactic Cosmic Radiation (GCR):</w:t>
      </w:r>
      <w:r>
        <w:t xml:space="preserve"> </w:t>
      </w:r>
      <w:r>
        <w:t xml:space="preserve">Comprising relativistic protons and high-Z, high-energy (HZE) nuclei, GCR background rates on the lunar surface range between</w:t>
      </w:r>
      <w:r>
        <w:t xml:space="preserve"> </w:t>
      </w:r>
      <m:oMath>
        <m:r>
          <m:t>60</m:t>
        </m:r>
        <m:r>
          <m:rPr>
            <m:nor/>
            <m:sty m:val="p"/>
          </m:rPr>
          <m:t> and </m:t>
        </m:r>
        <m:r>
          <m:t>100</m:t>
        </m:r>
        <m:r>
          <m:rPr>
            <m:nor/>
            <m:sty m:val="p"/>
          </m:rPr>
          <m:t> mGy/year</m:t>
        </m:r>
      </m:oMath>
      <w:r>
        <w:t xml:space="preserve"> </w:t>
      </w:r>
      <w:r>
        <w:t xml:space="preserve">(approximately</w:t>
      </w:r>
      <w:r>
        <w:t xml:space="preserve"> </w:t>
      </w:r>
      <m:oMath>
        <m:r>
          <m:t>0.16</m:t>
        </m:r>
        <m:r>
          <m:rPr>
            <m:nor/>
            <m:sty m:val="p"/>
          </m:rPr>
          <m:t> to </m:t>
        </m:r>
        <m:r>
          <m:t>0.27</m:t>
        </m:r>
        <m:r>
          <m:rPr>
            <m:nor/>
            <m:sty m:val="p"/>
          </m:rPr>
          <m:t> mGy/day</m:t>
        </m:r>
      </m:oMath>
      <w:r>
        <w:t xml:space="preserve">) [71,72]. Over a 5-day seed germination window (</w:t>
      </w:r>
      <m:oMath>
        <m:r>
          <m:t>120</m:t>
        </m:r>
        <m:r>
          <m:rPr>
            <m:nor/>
            <m:sty m:val="p"/>
          </m:rPr>
          <m:t> h</m:t>
        </m:r>
      </m:oMath>
      <w:r>
        <w:t xml:space="preserve">), cumulative GCR exposure is less than</w:t>
      </w:r>
      <w:r>
        <w:t xml:space="preserve"> </w:t>
      </w:r>
      <m:oMath>
        <m:r>
          <m:t>1.5</m:t>
        </m:r>
        <m:r>
          <m:rPr>
            <m:nor/>
            <m:sty m:val="p"/>
          </m:rPr>
          <m:t> mGy</m:t>
        </m:r>
      </m:oMath>
      <w:r>
        <w:t xml:space="preserve">. Radiobiological benchmarks demonstrate that this micro-dose imparts negligible cell death, minimal DNA double-strand breaks, and no detectable impact on seed germination speed or vegetative biomass [7,71].</w:t>
      </w:r>
      <w:r>
        <w:t xml:space="preserve"> </w:t>
      </w:r>
      <w:r>
        <w:t xml:space="preserve">2.</w:t>
      </w:r>
      <w:r>
        <w:t xml:space="preserve"> </w:t>
      </w:r>
      <w:r>
        <w:rPr>
          <w:b/>
          <w:bCs/>
        </w:rPr>
        <w:t xml:space="preserve">Acute Solar Particle Events (SPE):</w:t>
      </w:r>
      <w:r>
        <w:t xml:space="preserve"> </w:t>
      </w:r>
      <w:r>
        <w:t xml:space="preserve">In stark contrast, episodic coronal mass ejections deliver acute, high-flux proton doses ranging from</w:t>
      </w:r>
      <w:r>
        <w:t xml:space="preserve"> </w:t>
      </w:r>
      <m:oMath>
        <m:r>
          <m:t>0.5</m:t>
        </m:r>
        <m:r>
          <m:rPr>
            <m:nor/>
            <m:sty m:val="p"/>
          </m:rPr>
          <m:t> to </m:t>
        </m:r>
        <m:r>
          <m:t>2.0</m:t>
        </m:r>
        <m:r>
          <m:rPr>
            <m:nor/>
            <m:sty m:val="p"/>
          </m:rPr>
          <m:t> Gy</m:t>
        </m:r>
      </m:oMath>
      <w:r>
        <w:t xml:space="preserve"> </w:t>
      </w:r>
      <w:r>
        <w:t xml:space="preserve">within hours to days. Doses above</w:t>
      </w:r>
      <w:r>
        <w:t xml:space="preserve"> </w:t>
      </w:r>
      <m:oMath>
        <m:r>
          <m:t>0.5</m:t>
        </m:r>
        <m:r>
          <m:rPr>
            <m:nor/>
            <m:sty m:val="p"/>
          </m:rPr>
          <m:t> Gy</m:t>
        </m:r>
      </m:oMath>
      <w:r>
        <w:t xml:space="preserve"> </w:t>
      </w:r>
      <w:r>
        <w:t xml:space="preserve">induce severe chromatin ionization, triggering phosphorylation of histone</w:t>
      </w:r>
      <w:r>
        <w:t xml:space="preserve"> </w:t>
      </w:r>
      <m:oMath>
        <m:r>
          <m:t>γ</m:t>
        </m:r>
      </m:oMath>
      <w:r>
        <w:t xml:space="preserve">-H2AX, ATM/ATR kinase activation, and catastrophic mitotic arrest in root apical meristems [71,72].</w:t>
      </w:r>
    </w:p>
    <w:p>
      <w:pPr>
        <w:pStyle w:val="BodyText"/>
      </w:pPr>
      <w:r>
        <w:t xml:space="preserve">Therefore, for nominal 5-day lunar surface missions,</w:t>
      </w:r>
      <w:r>
        <w:t xml:space="preserve"> </w:t>
      </w:r>
      <w:r>
        <w:rPr>
          <w:b/>
          <w:bCs/>
        </w:rPr>
        <w:t xml:space="preserve">the near-null magnetic field and exploration atmosphere represent the dominant continuous environmental drivers of early seedling vigor</w:t>
      </w:r>
      <w:r>
        <w:t xml:space="preserve">, while acute radiation only becomes primary during active SPE events.</w:t>
      </w:r>
    </w:p>
    <w:bookmarkEnd w:id="43"/>
    <w:bookmarkStart w:id="44" w:name="X56e355aac4a107d33e21023ac9e81967cc7776f"/>
    <w:p>
      <w:pPr>
        <w:pStyle w:val="Heading3"/>
      </w:pPr>
      <w:r>
        <w:t xml:space="preserve">5.3 Transcriptomic Overlap: Peak Operational Windows and da Silveira Convergence</w:t>
      </w:r>
    </w:p>
    <w:p>
      <w:pPr>
        <w:pStyle w:val="FirstParagraph"/>
      </w:pPr>
      <w:r>
        <w:t xml:space="preserve">When interrogating multi-omics responses across stressors, comparisons must be evaluated during biologically comparable</w:t>
      </w:r>
      <w:r>
        <w:t xml:space="preserve"> </w:t>
      </w:r>
      <w:r>
        <w:rPr>
          <w:b/>
          <w:bCs/>
        </w:rPr>
        <w:t xml:space="preserve">peak operational stress response windows (24–72 h post-exposure)</w:t>
      </w:r>
      <w:r>
        <w:t xml:space="preserve">. Interrogating NASA OSDR dataset</w:t>
      </w:r>
      <w:r>
        <w:t xml:space="preserve"> </w:t>
      </w:r>
      <w:r>
        <w:rPr>
          <w:b/>
          <w:bCs/>
        </w:rPr>
        <w:t xml:space="preserve">OSD-782</w:t>
      </w:r>
      <w:r>
        <w:t xml:space="preserve"> </w:t>
      </w:r>
      <w:r>
        <w:t xml:space="preserve">(gamma radiation, 1 Gy) against Parmagnani et al. [73] (NNMF, ~30 nT) confirms concordant induction of the mitochondrial safety valve</w:t>
      </w:r>
      <w:r>
        <w:t xml:space="preserve"> </w:t>
      </w:r>
      <w:r>
        <w:rPr>
          <w:i/>
          <w:iCs/>
        </w:rPr>
        <w:t xml:space="preserve">AOX1D</w:t>
      </w:r>
      <w:r>
        <w:t xml:space="preserve"> </w:t>
      </w:r>
      <w:r>
        <w:t xml:space="preserve">(</w:t>
      </w:r>
      <m:oMath>
        <m:r>
          <m:rPr>
            <m:sty m:val="p"/>
          </m:rPr>
          <m:t>+</m:t>
        </m:r>
        <m:r>
          <m:t>3.96</m:t>
        </m:r>
        <m:r>
          <m:t> </m:t>
        </m:r>
        <m:sSub>
          <m:e>
            <m:r>
              <m:rPr>
                <m:sty m:val="p"/>
              </m:rPr>
              <m:t>log</m:t>
            </m:r>
          </m:e>
          <m:sub>
            <m:r>
              <m:t>2</m:t>
            </m:r>
          </m:sub>
        </m:sSub>
        <m:r>
          <m:rPr>
            <m:nor/>
            <m:sty m:val="p"/>
          </m:rPr>
          <m:t>FC</m:t>
        </m:r>
      </m:oMath>
      <w:r>
        <w:t xml:space="preserve"> </w:t>
      </w:r>
      <w:r>
        <w:t xml:space="preserve">under radiation;</w:t>
      </w:r>
      <w:r>
        <w:t xml:space="preserve"> </w:t>
      </w:r>
      <m:oMath>
        <m:r>
          <m:rPr>
            <m:sty m:val="p"/>
          </m:rPr>
          <m:t>+</m:t>
        </m:r>
        <m:r>
          <m:t>0.73</m:t>
        </m:r>
        <m:r>
          <m:t> </m:t>
        </m:r>
        <m:sSub>
          <m:e>
            <m:r>
              <m:rPr>
                <m:sty m:val="p"/>
              </m:rPr>
              <m:t>log</m:t>
            </m:r>
          </m:e>
          <m:sub>
            <m:r>
              <m:t>2</m:t>
            </m:r>
          </m:sub>
        </m:sSub>
        <m:r>
          <m:rPr>
            <m:nor/>
            <m:sty m:val="p"/>
          </m:rPr>
          <m:t>FC</m:t>
        </m:r>
      </m:oMath>
      <w:r>
        <w:t xml:space="preserve"> </w:t>
      </w:r>
      <w:r>
        <w:t xml:space="preserve">under NNMF) and the peroxisomal scavenger</w:t>
      </w:r>
      <w:r>
        <w:t xml:space="preserve"> </w:t>
      </w:r>
      <w:r>
        <w:rPr>
          <w:i/>
          <w:iCs/>
        </w:rPr>
        <w:t xml:space="preserve">CAT3</w:t>
      </w:r>
      <w:r>
        <w:t xml:space="preserve"> </w:t>
      </w:r>
      <w:r>
        <w:t xml:space="preserve">(</w:t>
      </w:r>
      <m:oMath>
        <m:r>
          <m:rPr>
            <m:sty m:val="p"/>
          </m:rPr>
          <m:t>+</m:t>
        </m:r>
        <m:r>
          <m:t>0.91</m:t>
        </m:r>
        <m:r>
          <m:t> </m:t>
        </m:r>
        <m:sSub>
          <m:e>
            <m:r>
              <m:rPr>
                <m:sty m:val="p"/>
              </m:rPr>
              <m:t>log</m:t>
            </m:r>
          </m:e>
          <m:sub>
            <m:r>
              <m:t>2</m:t>
            </m:r>
          </m:sub>
        </m:sSub>
        <m:r>
          <m:rPr>
            <m:nor/>
            <m:sty m:val="p"/>
          </m:rPr>
          <m:t>FC</m:t>
        </m:r>
      </m:oMath>
      <w:r>
        <w:t xml:space="preserve"> </w:t>
      </w:r>
      <w:r>
        <w:t xml:space="preserve">under radiation;</w:t>
      </w:r>
      <w:r>
        <w:t xml:space="preserve"> </w:t>
      </w:r>
      <m:oMath>
        <m:r>
          <m:rPr>
            <m:sty m:val="p"/>
          </m:rPr>
          <m:t>+</m:t>
        </m:r>
        <m:r>
          <m:t>0.94</m:t>
        </m:r>
        <m:r>
          <m:t> </m:t>
        </m:r>
        <m:sSub>
          <m:e>
            <m:r>
              <m:rPr>
                <m:sty m:val="p"/>
              </m:rPr>
              <m:t>log</m:t>
            </m:r>
          </m:e>
          <m:sub>
            <m:r>
              <m:t>2</m:t>
            </m:r>
          </m:sub>
        </m:sSub>
        <m:r>
          <m:rPr>
            <m:nor/>
            <m:sty m:val="p"/>
          </m:rPr>
          <m:t>FC</m:t>
        </m:r>
      </m:oMath>
      <w:r>
        <w:t xml:space="preserve"> </w:t>
      </w:r>
      <w:r>
        <w:t xml:space="preserve">under NNMF) (Figure 5c).</w:t>
      </w:r>
    </w:p>
    <w:p>
      <w:pPr>
        <w:pStyle w:val="BodyText"/>
      </w:pPr>
      <w:r>
        <w:t xml:space="preserve">Crucially,</w:t>
      </w:r>
      <w:r>
        <w:t xml:space="preserve"> </w:t>
      </w:r>
      <w:r>
        <w:rPr>
          <w:b/>
          <w:bCs/>
        </w:rPr>
        <w:t xml:space="preserve">the mitochondrial</w:t>
      </w:r>
      <w:r>
        <w:rPr>
          <w:b/>
          <w:bCs/>
        </w:rPr>
        <w:t xml:space="preserve"> </w:t>
      </w:r>
      <m:oMath>
        <m:sSub>
          <m:e>
            <m:r>
              <m:rPr>
                <m:nor/>
                <m:sty m:val="p"/>
              </m:rPr>
              <m:t>CO</m:t>
            </m:r>
          </m:e>
          <m:sub>
            <m:r>
              <m:t>2</m:t>
            </m:r>
          </m:sub>
        </m:sSub>
        <m:r>
          <m:rPr>
            <m:sty m:val="p"/>
          </m:rPr>
          <m:t>↔</m:t>
        </m:r>
        <m:sSub>
          <m:e>
            <m:r>
              <m:rPr>
                <m:nor/>
                <m:sty m:val="p"/>
              </m:rPr>
              <m:t>O</m:t>
            </m:r>
          </m:e>
          <m:sub>
            <m:r>
              <m:t>2</m:t>
            </m:r>
          </m:sub>
        </m:sSub>
        <m:r>
          <m:rPr>
            <m:sty m:val="p"/>
          </m:rPr>
          <m:t>↔</m:t>
        </m:r>
        <m:r>
          <m:rPr>
            <m:nor/>
            <m:sty m:val="p"/>
          </m:rPr>
          <m:t>ROS</m:t>
        </m:r>
      </m:oMath>
      <w:r>
        <w:rPr>
          <w:b/>
          <w:bCs/>
        </w:rPr>
        <w:t xml:space="preserve"> </w:t>
      </w:r>
      <w:r>
        <w:rPr>
          <w:b/>
          <w:bCs/>
        </w:rPr>
        <w:t xml:space="preserve">bioenergetic lesion represents the universal cellular hallmark of spaceflight across all eukaryotic biology</w:t>
      </w:r>
      <w:r>
        <w:t xml:space="preserve"> </w:t>
      </w:r>
      <w:r>
        <w:t xml:space="preserve">[67,74] (Figure 5d). In their landmark multi-cohort multi-omics synthesis, da Silveira et al. [67] demonstrated that mitochondrial dysfunction, impaired oxidative phosphorylation, and excessive ROS leakage represent the primary systemic spaceflight lesion in human astronauts (NASA Twins Study). Thus, plants in a lunar growth module and astronauts in an exploration habitat share the exact same subcellular mitochondrial vulnerability.</w:t>
      </w:r>
    </w:p>
    <w:p>
      <w:r>
        <w:pict>
          <v:rect style="width:0;height:1.5pt" o:hralign="center" o:hrstd="t" o:hr="t"/>
        </w:pict>
      </w:r>
    </w:p>
    <w:bookmarkEnd w:id="44"/>
    <w:bookmarkEnd w:id="45"/>
    <w:bookmarkStart w:id="52" w:name="X010ece94745ab7bbcd058eee9e1efe2b7b58067"/>
    <w:p>
      <w:pPr>
        <w:pStyle w:val="Heading2"/>
      </w:pPr>
      <w:r>
        <w:t xml:space="preserve">6. Scientific Knowledge Gap Retirement, Ground Simulation Standards, and Flight Instrumentation Trade Space</w:t>
      </w:r>
    </w:p>
    <w:p>
      <w:pPr>
        <w:pStyle w:val="FirstParagraph"/>
      </w:pPr>
      <w:r>
        <w:drawing>
          <wp:inline>
            <wp:extent cx="5334000" cy="4428471"/>
            <wp:effectExtent b="0" l="0" r="0" t="0"/>
            <wp:docPr descr="Figure 6" title="" id="47" name="Picture"/>
            <a:graphic>
              <a:graphicData uri="http://schemas.openxmlformats.org/drawingml/2006/picture">
                <pic:pic>
                  <pic:nvPicPr>
                    <pic:cNvPr descr="/Users/drb_laptop/Documents/NMF_review/figures/Fig6_flight_validation_risk_pipeline.png" id="48" name="Picture"/>
                    <pic:cNvPicPr>
                      <a:picLocks noChangeArrowheads="1" noChangeAspect="1"/>
                    </pic:cNvPicPr>
                  </pic:nvPicPr>
                  <pic:blipFill>
                    <a:blip r:embed="rId46"/>
                    <a:stretch>
                      <a:fillRect/>
                    </a:stretch>
                  </pic:blipFill>
                  <pic:spPr bwMode="auto">
                    <a:xfrm>
                      <a:off x="0" y="0"/>
                      <a:ext cx="5334000" cy="4428471"/>
                    </a:xfrm>
                    <a:prstGeom prst="rect">
                      <a:avLst/>
                    </a:prstGeom>
                    <a:noFill/>
                    <a:ln w="9525">
                      <a:noFill/>
                      <a:headEnd/>
                      <a:tailEnd/>
                    </a:ln>
                  </pic:spPr>
                </pic:pic>
              </a:graphicData>
            </a:graphic>
          </wp:inline>
        </w:drawing>
      </w:r>
      <w:r>
        <w:t xml:space="preserve"> </w:t>
      </w:r>
      <w:r>
        <w:rPr>
          <w:b/>
          <w:bCs/>
        </w:rPr>
        <w:t xml:space="preserve">Figure 6 | Ground simulation standards, hardware self-magnetic assessment protocol, and post-flight phenotypic disambiguation framework.</w:t>
      </w:r>
      <w:r>
        <w:br/>
      </w:r>
      <w:r>
        <w:rPr>
          <w:b/>
          <w:bCs/>
        </w:rPr>
        <w:t xml:space="preserve">(a) Methodological Ground Simulation Standards (3-Chamber Parity):</w:t>
      </w:r>
      <w:r>
        <w:t xml:space="preserve"> </w:t>
      </w:r>
      <w:r>
        <w:t xml:space="preserve">Parallel three-chamber experimental architecture ensuring strict environmental parity: Chamber 1 (Geomagnetic Control,</w:t>
      </w:r>
      <w:r>
        <w:t xml:space="preserve"> </w:t>
      </w:r>
      <m:oMath>
        <m:r>
          <m:t>45</m:t>
        </m:r>
        <m:r>
          <m:rPr>
            <m:nor/>
            <m:sty m:val="p"/>
          </m:rPr>
          <m:t>–</m:t>
        </m:r>
        <m:r>
          <m:t>50</m:t>
        </m:r>
        <m:r>
          <m:t> </m:t>
        </m:r>
        <m:r>
          <m:t>μ</m:t>
        </m:r>
        <m:r>
          <m:rPr>
            <m:nor/>
            <m:sty m:val="p"/>
          </m:rPr>
          <m:t>T</m:t>
        </m:r>
      </m:oMath>
      <w:r>
        <w:t xml:space="preserve"> </w:t>
      </w:r>
      <w:r>
        <w:t xml:space="preserve">terrestrial baseline); Chamber 2 (Near-Null Field,</w:t>
      </w:r>
      <w:r>
        <w:t xml:space="preserve"> </w:t>
      </w:r>
      <m:oMath>
        <m:r>
          <m:rPr>
            <m:sty m:val="p"/>
          </m:rPr>
          <m:t>&lt;</m:t>
        </m:r>
        <m:r>
          <m:t>10</m:t>
        </m:r>
        <m:r>
          <m:rPr>
            <m:nor/>
            <m:sty m:val="p"/>
          </m:rPr>
          <m:t> nT</m:t>
        </m:r>
      </m:oMath>
      <w:r>
        <w:t xml:space="preserve"> </w:t>
      </w:r>
      <w:r>
        <w:t xml:space="preserve">active cancellation or</w:t>
      </w:r>
      <w:r>
        <w:t xml:space="preserve"> </w:t>
      </w:r>
      <m:oMath>
        <m:r>
          <m:rPr>
            <m:sty m:val="p"/>
          </m:rPr>
          <m:t>&lt;</m:t>
        </m:r>
        <m:r>
          <m:t>1</m:t>
        </m:r>
        <m:r>
          <m:rPr>
            <m:nor/>
            <m:sty m:val="p"/>
          </m:rPr>
          <m:t> nT</m:t>
        </m:r>
      </m:oMath>
      <w:r>
        <w:t xml:space="preserve"> </w:t>
      </w:r>
      <w:r>
        <w:t xml:space="preserve">shielded core); and Chamber 3 (Matched Bifilar Sham Control, carrying matched current through opposing bifilar windings to produce net zero coil vector</w:t>
      </w:r>
      <w:r>
        <w:t xml:space="preserve"> </w:t>
      </w:r>
      <m:oMath>
        <m:sSub>
          <m:e>
            <m:r>
              <m:rPr>
                <m:sty m:val="bi"/>
              </m:rPr>
              <m:t>B</m:t>
            </m:r>
          </m:e>
          <m:sub>
            <m:r>
              <m:rPr>
                <m:nor/>
                <m:sty m:val="p"/>
              </m:rPr>
              <m:t>coil</m:t>
            </m:r>
          </m:sub>
        </m:sSub>
        <m:r>
          <m:rPr>
            <m:sty m:val="p"/>
          </m:rPr>
          <m:t>≈</m:t>
        </m:r>
        <m:r>
          <m:t>0</m:t>
        </m:r>
      </m:oMath>
      <w:r>
        <w:t xml:space="preserve"> </w:t>
      </w:r>
      <w:r>
        <w:t xml:space="preserve">while retaining the ambient</w:t>
      </w:r>
      <w:r>
        <w:t xml:space="preserve"> </w:t>
      </w:r>
      <m:oMath>
        <m:r>
          <m:t>45</m:t>
        </m:r>
        <m:r>
          <m:rPr>
            <m:nor/>
            <m:sty m:val="p"/>
          </m:rPr>
          <m:t>–</m:t>
        </m:r>
        <m:r>
          <m:t>50</m:t>
        </m:r>
        <m:r>
          <m:t> </m:t>
        </m:r>
        <m:r>
          <m:t>μ</m:t>
        </m:r>
        <m:r>
          <m:rPr>
            <m:nor/>
            <m:sty m:val="p"/>
          </m:rPr>
          <m:t>T</m:t>
        </m:r>
      </m:oMath>
      <w:r>
        <w:t xml:space="preserve"> </w:t>
      </w:r>
      <w:r>
        <w:t xml:space="preserve">GMF, identically isolating ohmic Joule heat</w:t>
      </w:r>
      <w:r>
        <w:t xml:space="preserve"> </w:t>
      </w:r>
      <m:oMath>
        <m:r>
          <m:rPr>
            <m:sty m:val="p"/>
          </m:rPr>
          <m:t>Δ</m:t>
        </m:r>
        <m:r>
          <m:t>T</m:t>
        </m:r>
      </m:oMath>
      <w:r>
        <w:t xml:space="preserve">, acoustic vibration, and power ripple). Banner defines the 6-Point Ground Acceptance Checklist (</w:t>
      </w:r>
      <m:oMath>
        <m:r>
          <m:rPr>
            <m:sty m:val="p"/>
          </m:rPr>
          <m:t>±</m:t>
        </m:r>
        <m:sSup>
          <m:e>
            <m:r>
              <m:t>0.3</m:t>
            </m:r>
          </m:e>
          <m:sup>
            <m:r>
              <m:rPr>
                <m:sty m:val="p"/>
              </m:rPr>
              <m:t>∘</m:t>
            </m:r>
          </m:sup>
        </m:sSup>
        <m:r>
          <m:rPr>
            <m:nor/>
            <m:sty m:val="p"/>
          </m:rPr>
          <m:t>C</m:t>
        </m:r>
      </m:oMath>
      <w:r>
        <w:t xml:space="preserve"> </w:t>
      </w:r>
      <w:r>
        <w:t xml:space="preserve">T,</w:t>
      </w:r>
      <w:r>
        <w:t xml:space="preserve"> </w:t>
      </w:r>
      <m:oMath>
        <m:r>
          <m:rPr>
            <m:sty m:val="p"/>
          </m:rPr>
          <m:t>±</m:t>
        </m:r>
        <m:r>
          <m:t>2</m:t>
        </m:r>
        <m:r>
          <m:rPr>
            <m:sty m:val="p"/>
          </m:rPr>
          <m:t>%</m:t>
        </m:r>
      </m:oMath>
      <w:r>
        <w:t xml:space="preserve"> </w:t>
      </w:r>
      <w:r>
        <w:t xml:space="preserve">RH,</w:t>
      </w:r>
      <w:r>
        <w:t xml:space="preserve"> </w:t>
      </w:r>
      <m:oMath>
        <m:r>
          <m:rPr>
            <m:sty m:val="p"/>
          </m:rPr>
          <m:t>±</m:t>
        </m:r>
        <m:r>
          <m:t>50</m:t>
        </m:r>
        <m:sSub>
          <m:e>
            <m:r>
              <m:rPr>
                <m:nor/>
                <m:sty m:val="p"/>
              </m:rPr>
              <m:t> ppm CO</m:t>
            </m:r>
          </m:e>
          <m:sub>
            <m:r>
              <m:t>2</m:t>
            </m:r>
          </m:sub>
        </m:sSub>
      </m:oMath>
      <w:r>
        <w:t xml:space="preserve">,</w:t>
      </w:r>
      <w:r>
        <w:t xml:space="preserve"> </w:t>
      </w:r>
      <m:oMath>
        <m:r>
          <m:rPr>
            <m:sty m:val="p"/>
          </m:rPr>
          <m:t>±</m:t>
        </m:r>
        <m:r>
          <m:t>5</m:t>
        </m:r>
        <m:r>
          <m:t> </m:t>
        </m:r>
        <m:r>
          <m:t>μ</m:t>
        </m:r>
        <m:sSup>
          <m:e>
            <m:r>
              <m:rPr>
                <m:nor/>
                <m:sty m:val="p"/>
              </m:rPr>
              <m:t>mol m</m:t>
            </m:r>
          </m:e>
          <m:sup>
            <m:r>
              <m:rPr>
                <m:sty m:val="p"/>
              </m:rPr>
              <m:t>−</m:t>
            </m:r>
            <m:r>
              <m:t>2</m:t>
            </m:r>
          </m:sup>
        </m:sSup>
        <m:sSup>
          <m:e>
            <m:r>
              <m:rPr>
                <m:nor/>
                <m:sty m:val="p"/>
              </m:rPr>
              <m:t> s</m:t>
            </m:r>
          </m:e>
          <m:sup>
            <m:r>
              <m:rPr>
                <m:sty m:val="p"/>
              </m:rPr>
              <m:t>−</m:t>
            </m:r>
            <m:r>
              <m:t>1</m:t>
            </m:r>
          </m:sup>
        </m:sSup>
      </m:oMath>
      <w:r>
        <w:t xml:space="preserve"> </w:t>
      </w:r>
      <w:r>
        <w:t xml:space="preserve">PAR).</w:t>
      </w:r>
      <w:r>
        <w:br/>
      </w:r>
      <w:r>
        <w:rPr>
          <w:b/>
          <w:bCs/>
        </w:rPr>
        <w:t xml:space="preserve">(b) Payload Self-Magnetic Calibration &amp; Transfer Deconvolution:</w:t>
      </w:r>
      <w:r>
        <w:t xml:space="preserve"> </w:t>
      </w:r>
      <w:r>
        <w:t xml:space="preserve">Calibration matrix decoupling hardware self-generated magnetic fields from ambient lunar near-null void. Stepwise power sweeps quantify subsystem coupling coefficients</w:t>
      </w:r>
      <w:r>
        <w:t xml:space="preserve"> </w:t>
      </w:r>
      <m:oMath>
        <m:sSub>
          <m:e>
            <m:r>
              <m:rPr>
                <m:sty m:val="bi"/>
              </m:rPr>
              <m:t>S</m:t>
            </m:r>
          </m:e>
          <m:sub>
            <m:r>
              <m:t>k</m:t>
            </m:r>
          </m:sub>
        </m:sSub>
      </m:oMath>
      <w:r>
        <w:t xml:space="preserve"> </w:t>
      </w:r>
      <w:r>
        <w:t xml:space="preserve">(LED lighting</w:t>
      </w:r>
      <w:r>
        <w:t xml:space="preserve"> </w:t>
      </w:r>
      <m:oMath>
        <m:r>
          <m:t>2</m:t>
        </m:r>
        <m:r>
          <m:rPr>
            <m:nor/>
            <m:sty m:val="p"/>
          </m:rPr>
          <m:t>–</m:t>
        </m:r>
        <m:r>
          <m:t>15</m:t>
        </m:r>
        <m:r>
          <m:t> </m:t>
        </m:r>
        <m:r>
          <m:t>μ</m:t>
        </m:r>
        <m:r>
          <m:rPr>
            <m:nor/>
            <m:sty m:val="p"/>
          </m:rPr>
          <m:t>T</m:t>
        </m:r>
      </m:oMath>
      <w:r>
        <w:t xml:space="preserve"> </w:t>
      </w:r>
      <w:r>
        <w:t xml:space="preserve">DC, pump pulses</w:t>
      </w:r>
      <w:r>
        <w:t xml:space="preserve"> </w:t>
      </w:r>
      <m:oMath>
        <m:r>
          <m:t>8</m:t>
        </m:r>
        <m:r>
          <m:rPr>
            <m:nor/>
            <m:sty m:val="p"/>
          </m:rPr>
          <m:t>–</m:t>
        </m:r>
        <m:r>
          <m:t>35</m:t>
        </m:r>
        <m:r>
          <m:t> </m:t>
        </m:r>
        <m:r>
          <m:t>μ</m:t>
        </m:r>
        <m:r>
          <m:rPr>
            <m:nor/>
            <m:sty m:val="p"/>
          </m:rPr>
          <m:t>T</m:t>
        </m:r>
      </m:oMath>
      <w:r>
        <w:t xml:space="preserve">, thermal heaters</w:t>
      </w:r>
      <w:r>
        <w:t xml:space="preserve"> </w:t>
      </w:r>
      <m:oMath>
        <m:r>
          <m:t>12</m:t>
        </m:r>
        <m:r>
          <m:rPr>
            <m:nor/>
            <m:sty m:val="p"/>
          </m:rPr>
          <m:t>–</m:t>
        </m:r>
        <m:r>
          <m:t>48</m:t>
        </m:r>
        <m:r>
          <m:t> </m:t>
        </m:r>
        <m:r>
          <m:t>μ</m:t>
        </m:r>
        <m:r>
          <m:rPr>
            <m:nor/>
            <m:sty m:val="p"/>
          </m:rPr>
          <m:t>T</m:t>
        </m:r>
      </m:oMath>
      <w:r>
        <w:t xml:space="preserve">, and avionics buses</w:t>
      </w:r>
      <w:r>
        <w:t xml:space="preserve"> </w:t>
      </w:r>
      <m:oMath>
        <m:r>
          <m:t>0.5</m:t>
        </m:r>
        <m:r>
          <m:rPr>
            <m:nor/>
            <m:sty m:val="p"/>
          </m:rPr>
          <m:t>–</m:t>
        </m:r>
        <m:r>
          <m:t>4</m:t>
        </m:r>
        <m:r>
          <m:t> </m:t>
        </m:r>
        <m:r>
          <m:t>μ</m:t>
        </m:r>
        <m:r>
          <m:rPr>
            <m:nor/>
            <m:sty m:val="p"/>
          </m:rPr>
          <m:t>T</m:t>
        </m:r>
      </m:oMath>
      <w:r>
        <w:t xml:space="preserve">). Computational subtraction via</w:t>
      </w:r>
      <w:r>
        <w:t xml:space="preserve"> </w:t>
      </w:r>
      <m:oMath>
        <m:sSub>
          <m:e>
            <m:r>
              <m:rPr>
                <m:sty m:val="bi"/>
              </m:rPr>
              <m:t>B</m:t>
            </m:r>
          </m:e>
          <m:sub>
            <m:r>
              <m:rPr>
                <m:sty m:val="p"/>
              </m:rPr>
              <m:t>a</m:t>
            </m:r>
            <m:r>
              <m:rPr>
                <m:sty m:val="p"/>
              </m:rPr>
              <m:t>m</m:t>
            </m:r>
            <m:r>
              <m:rPr>
                <m:sty m:val="p"/>
              </m:rPr>
              <m:t>b</m:t>
            </m:r>
            <m:r>
              <m:rPr>
                <m:sty m:val="p"/>
              </m:rPr>
              <m:t>i</m:t>
            </m:r>
            <m:r>
              <m:rPr>
                <m:sty m:val="p"/>
              </m:rPr>
              <m:t>e</m:t>
            </m:r>
            <m:r>
              <m:rPr>
                <m:sty m:val="p"/>
              </m:rPr>
              <m:t>n</m:t>
            </m:r>
            <m:r>
              <m:rPr>
                <m:sty m:val="p"/>
              </m:rPr>
              <m:t>t</m:t>
            </m:r>
          </m:sub>
        </m:sSub>
        <m:r>
          <m:rPr>
            <m:sty m:val="p"/>
          </m:rPr>
          <m:t>(</m:t>
        </m:r>
        <m:r>
          <m:t>t</m:t>
        </m:r>
        <m:r>
          <m:rPr>
            <m:sty m:val="p"/>
          </m:rPr>
          <m:t>)</m:t>
        </m:r>
        <m:r>
          <m:rPr>
            <m:sty m:val="p"/>
          </m:rPr>
          <m:t>=</m:t>
        </m:r>
        <m:sSub>
          <m:e>
            <m:r>
              <m:rPr>
                <m:sty m:val="bi"/>
              </m:rPr>
              <m:t>B</m:t>
            </m:r>
          </m:e>
          <m:sub>
            <m:r>
              <m:rPr>
                <m:sty m:val="p"/>
              </m:rPr>
              <m:t>s</m:t>
            </m:r>
            <m:r>
              <m:rPr>
                <m:sty m:val="p"/>
              </m:rPr>
              <m:t>e</m:t>
            </m:r>
            <m:r>
              <m:rPr>
                <m:sty m:val="p"/>
              </m:rPr>
              <m:t>n</m:t>
            </m:r>
            <m:r>
              <m:rPr>
                <m:sty m:val="p"/>
              </m:rPr>
              <m:t>s</m:t>
            </m:r>
            <m:r>
              <m:rPr>
                <m:sty m:val="p"/>
              </m:rPr>
              <m:t>o</m:t>
            </m:r>
            <m:r>
              <m:rPr>
                <m:sty m:val="p"/>
              </m:rPr>
              <m:t>r</m:t>
            </m:r>
          </m:sub>
        </m:sSub>
        <m:r>
          <m:rPr>
            <m:sty m:val="p"/>
          </m:rPr>
          <m:t>(</m:t>
        </m:r>
        <m:r>
          <m:t>t</m:t>
        </m:r>
        <m:r>
          <m:rPr>
            <m:sty m:val="p"/>
          </m:rPr>
          <m:t>)</m:t>
        </m:r>
        <m:r>
          <m:rPr>
            <m:sty m:val="p"/>
          </m:rPr>
          <m:t>−</m:t>
        </m:r>
        <m:nary>
          <m:naryPr>
            <m:chr m:val="∑"/>
            <m:limLoc m:val="undOvr"/>
            <m:subHide m:val="off"/>
            <m:supHide m:val="on"/>
          </m:naryPr>
          <m:sub>
            <m:r>
              <m:t>k</m:t>
            </m:r>
          </m:sub>
          <m:sup>
            <m:r>
              <m:t>​</m:t>
            </m:r>
          </m:sup>
          <m:e>
            <m:sSub>
              <m:e>
                <m:r>
                  <m:rPr>
                    <m:sty m:val="bi"/>
                  </m:rPr>
                  <m:t>S</m:t>
                </m:r>
              </m:e>
              <m:sub>
                <m:r>
                  <m:t>k</m:t>
                </m:r>
              </m:sub>
            </m:sSub>
          </m:e>
        </m:nary>
        <m:r>
          <m:rPr>
            <m:sty m:val="p"/>
          </m:rPr>
          <m:t>⋅</m:t>
        </m:r>
        <m:sSub>
          <m:e>
            <m:r>
              <m:t>I</m:t>
            </m:r>
          </m:e>
          <m:sub>
            <m:r>
              <m:t>k</m:t>
            </m:r>
          </m:sub>
        </m:sSub>
        <m:r>
          <m:rPr>
            <m:sty m:val="p"/>
          </m:rPr>
          <m:t>(</m:t>
        </m:r>
        <m:r>
          <m:t>t</m:t>
        </m:r>
        <m:r>
          <m:rPr>
            <m:sty m:val="p"/>
          </m:rPr>
          <m:t>)</m:t>
        </m:r>
      </m:oMath>
      <w:r>
        <w:t xml:space="preserve"> </w:t>
      </w:r>
      <w:r>
        <w:t xml:space="preserve">achieves an uncertainty budget of</w:t>
      </w:r>
      <w:r>
        <w:t xml:space="preserve"> </w:t>
      </w:r>
      <m:oMath>
        <m:r>
          <m:rPr>
            <m:sty m:val="p"/>
          </m:rPr>
          <m:t>±</m:t>
        </m:r>
        <m:r>
          <m:t>2</m:t>
        </m:r>
        <m:r>
          <m:rPr>
            <m:nor/>
            <m:sty m:val="p"/>
          </m:rPr>
          <m:t>–</m:t>
        </m:r>
        <m:r>
          <m:t>5</m:t>
        </m:r>
        <m:r>
          <m:rPr>
            <m:nor/>
            <m:sty m:val="p"/>
          </m:rPr>
          <m:t> nT</m:t>
        </m:r>
      </m:oMath>
      <w:r>
        <w:t xml:space="preserve"> </w:t>
      </w:r>
      <w:r>
        <w:t xml:space="preserve">RMS error against 2–48</w:t>
      </w:r>
      <w:r>
        <w:t xml:space="preserve"> </w:t>
      </w:r>
      <m:oMath>
        <m:r>
          <m:t>μ</m:t>
        </m:r>
      </m:oMath>
      <w:r>
        <w:t xml:space="preserve">T DC spacecraft backgrounds without requiring mass-prohibitive active in-flight cancellation coils.</w:t>
      </w:r>
      <w:r>
        <w:br/>
      </w:r>
      <w:r>
        <w:rPr>
          <w:b/>
          <w:bCs/>
        </w:rPr>
        <w:t xml:space="preserve">(c) Post-Flight Phenotypic Risk Disambiguation Matrix:</w:t>
      </w:r>
      <w:r>
        <w:t xml:space="preserve"> </w:t>
      </w:r>
      <w:r>
        <w:t xml:space="preserve">Operational comparative decision framework translating empirical ground and flight telemetry to decouple overlapping environmental stressors in lunar agricultural payloads (Table 4), distinguishing Near-Null Magnetic Fields (&lt;1 nT; emergence lag, cryptochrome-HY5 chlorosis,</w:t>
      </w:r>
      <w:r>
        <w:t xml:space="preserve"> </w:t>
      </w:r>
      <w:r>
        <w:rPr>
          <w:i/>
          <w:iCs/>
        </w:rPr>
        <w:t xml:space="preserve">AOX1D</w:t>
      </w:r>
      <w:r>
        <w:t xml:space="preserve"> </w:t>
      </w:r>
      <w:r>
        <w:t xml:space="preserve">induction without DNA breaks; rescued by 45</w:t>
      </w:r>
      <w:r>
        <w:t xml:space="preserve"> </w:t>
      </w:r>
      <m:oMath>
        <m:r>
          <m:t>μ</m:t>
        </m:r>
      </m:oMath>
      <w:r>
        <w:t xml:space="preserve">T, 1g-insensitive) from Lunar Partial Gravity (</w:t>
      </w:r>
      <m:oMath>
        <m:r>
          <m:t>0.166</m:t>
        </m:r>
        <m:r>
          <m:t> </m:t>
        </m:r>
        <m:r>
          <m:t>g</m:t>
        </m:r>
      </m:oMath>
      <w:r>
        <w:t xml:space="preserve">; directional skewing, statolith displacement, apoplastic ROS; rescued by 1g rotor, B-insensitive) and Deep-Space Ionizing Radiation (dose-dependent cell cycle arrest, severe DNA double-strand breaks,</w:t>
      </w:r>
      <w:r>
        <w:t xml:space="preserve"> </w:t>
      </w:r>
      <m:oMath>
        <m:r>
          <m:t>γ</m:t>
        </m:r>
      </m:oMath>
      <w:r>
        <w:t xml:space="preserve">-H2AX foci; correlated with dosimeter, B- and g-independent).</w:t>
      </w:r>
    </w:p>
    <w:bookmarkStart w:id="49" w:name="X338bb884919056f45c4403fcbeabbd2da1854b0"/>
    <w:p>
      <w:pPr>
        <w:pStyle w:val="Heading3"/>
      </w:pPr>
      <w:r>
        <w:t xml:space="preserve">6.1 Ground Simulation Standards &amp; The 6-Point Acceptance Checklist</w:t>
      </w:r>
    </w:p>
    <w:p>
      <w:pPr>
        <w:pStyle w:val="FirstParagraph"/>
      </w:pPr>
      <w:r>
        <w:t xml:space="preserve">A primary failure mode of historical hypomagnetic research is the confounding introduction of chamber microclimatic shifts, temperature gradients, and vibrational noise [11,20]. Whenever active coils or passive shielding are employed in ground research, investigators must deploy</w:t>
      </w:r>
      <w:r>
        <w:t xml:space="preserve"> </w:t>
      </w:r>
      <w:r>
        <w:rPr>
          <w:b/>
          <w:bCs/>
        </w:rPr>
        <w:t xml:space="preserve">matched-current bifilar sham coils</w:t>
      </w:r>
      <w:r>
        <w:t xml:space="preserve"> </w:t>
      </w:r>
      <w:r>
        <w:t xml:space="preserve">as an obligatory negative magnetic control [11,78] (Figure 6a).</w:t>
      </w:r>
    </w:p>
    <w:p>
      <w:pPr>
        <w:pStyle w:val="BodyText"/>
      </w:pPr>
      <w:r>
        <w:t xml:space="preserve">In a bifilar sham configuration, paired adjacent wires carry equal currents in opposite directions. The resulting magnetic fields cancel completely (</w:t>
      </w:r>
      <m:oMath>
        <m:sSub>
          <m:e>
            <m:r>
              <m:rPr>
                <m:sty m:val="bi"/>
              </m:rPr>
              <m:t>B</m:t>
            </m:r>
          </m:e>
          <m:sub>
            <m:r>
              <m:rPr>
                <m:nor/>
                <m:sty m:val="p"/>
              </m:rPr>
              <m:t>coil</m:t>
            </m:r>
          </m:sub>
        </m:sSub>
        <m:r>
          <m:rPr>
            <m:sty m:val="p"/>
          </m:rPr>
          <m:t>≈</m:t>
        </m:r>
        <m:r>
          <m:t>0</m:t>
        </m:r>
      </m:oMath>
      <w:r>
        <w:t xml:space="preserve">), leaving the ambient terrestrial geomagnetic field (</w:t>
      </w:r>
      <m:oMath>
        <m:r>
          <m:t>45</m:t>
        </m:r>
        <m:r>
          <m:rPr>
            <m:nor/>
            <m:sty m:val="p"/>
          </m:rPr>
          <m:t>–</m:t>
        </m:r>
        <m:r>
          <m:t>50</m:t>
        </m:r>
        <m:r>
          <m:t> </m:t>
        </m:r>
        <m:r>
          <m:t>μ</m:t>
        </m:r>
        <m:r>
          <m:rPr>
            <m:nor/>
            <m:sty m:val="p"/>
          </m:rPr>
          <m:t>T</m:t>
        </m:r>
      </m:oMath>
      <w:r>
        <w:t xml:space="preserve">) entirely undisturbed, while generating identical resistive Joule heat (</w:t>
      </w:r>
      <m:oMath>
        <m:r>
          <m:rPr>
            <m:sty m:val="p"/>
          </m:rPr>
          <m:t>Δ</m:t>
        </m:r>
        <m:r>
          <m:t>T</m:t>
        </m:r>
      </m:oMath>
      <w:r>
        <w:t xml:space="preserve">), electrical loads, power-supply switching ripple, and acoustic coil vibration as the active cancellation coils.</w:t>
      </w:r>
    </w:p>
    <w:p>
      <w:pPr>
        <w:pStyle w:val="BodyText"/>
      </w:pPr>
      <w:r>
        <w:t xml:space="preserve">To ensure peer-review auditability, we formulate the</w:t>
      </w:r>
      <w:r>
        <w:t xml:space="preserve"> </w:t>
      </w:r>
      <w:r>
        <w:rPr>
          <w:b/>
          <w:bCs/>
        </w:rPr>
        <w:t xml:space="preserve">6-Point Ground Simulation Acceptance Checklist</w:t>
      </w:r>
      <w:r>
        <w:t xml:space="preserve">:</w:t>
      </w:r>
      <w:r>
        <w:t xml:space="preserve"> </w:t>
      </w:r>
      <w:r>
        <w:t xml:space="preserve">1.</w:t>
      </w:r>
      <w:r>
        <w:t xml:space="preserve"> </w:t>
      </w:r>
      <w:r>
        <w:rPr>
          <w:b/>
          <w:bCs/>
        </w:rPr>
        <w:t xml:space="preserve">Three-Axis Vector Verification:</w:t>
      </w:r>
      <w:r>
        <w:t xml:space="preserve"> </w:t>
      </w:r>
      <w:r>
        <w:t xml:space="preserve">Specimen-plane magnetic vector logged continuously (</w:t>
      </w:r>
      <m:oMath>
        <m:sSub>
          <m:e>
            <m:r>
              <m:t>B</m:t>
            </m:r>
          </m:e>
          <m:sub>
            <m:r>
              <m:t>x</m:t>
            </m:r>
          </m:sub>
        </m:sSub>
        <m:r>
          <m:rPr>
            <m:sty m:val="p"/>
          </m:rPr>
          <m:t>,</m:t>
        </m:r>
        <m:sSub>
          <m:e>
            <m:r>
              <m:t>B</m:t>
            </m:r>
          </m:e>
          <m:sub>
            <m:r>
              <m:t>y</m:t>
            </m:r>
          </m:sub>
        </m:sSub>
        <m:r>
          <m:rPr>
            <m:sty m:val="p"/>
          </m:rPr>
          <m:t>,</m:t>
        </m:r>
        <m:sSub>
          <m:e>
            <m:r>
              <m:t>B</m:t>
            </m:r>
          </m:e>
          <m:sub>
            <m:r>
              <m:t>z</m:t>
            </m:r>
          </m:sub>
        </m:sSub>
      </m:oMath>
      <w:r>
        <w:t xml:space="preserve">) with calibrated fluxgate/AMR sensors at</w:t>
      </w:r>
      <w:r>
        <w:t xml:space="preserve"> </w:t>
      </w:r>
      <m:oMath>
        <m:r>
          <m:rPr>
            <m:sty m:val="p"/>
          </m:rPr>
          <m:t>≤</m:t>
        </m:r>
        <m:r>
          <m:rPr>
            <m:sty m:val="p"/>
          </m:rPr>
          <m:t>±</m:t>
        </m:r>
        <m:r>
          <m:t>0.1</m:t>
        </m:r>
        <m:r>
          <m:rPr>
            <m:nor/>
            <m:sty m:val="p"/>
          </m:rPr>
          <m:t> nT</m:t>
        </m:r>
      </m:oMath>
      <w:r>
        <w:t xml:space="preserve"> </w:t>
      </w:r>
      <w:r>
        <w:t xml:space="preserve">resolution.</w:t>
      </w:r>
      <w:r>
        <w:t xml:space="preserve"> </w:t>
      </w:r>
      <w:r>
        <w:t xml:space="preserve">2.</w:t>
      </w:r>
      <w:r>
        <w:t xml:space="preserve"> </w:t>
      </w:r>
      <w:r>
        <w:rPr>
          <w:b/>
          <w:bCs/>
        </w:rPr>
        <w:t xml:space="preserve">Residual Field Compliance:</w:t>
      </w:r>
      <w:r>
        <w:t xml:space="preserve"> </w:t>
      </w:r>
      <w:r>
        <w:t xml:space="preserve">Residual field at the seed tray plane confirmed strictly</w:t>
      </w:r>
      <w:r>
        <w:t xml:space="preserve"> </w:t>
      </w:r>
      <m:oMath>
        <m:r>
          <m:rPr>
            <m:sty m:val="p"/>
          </m:rPr>
          <m:t>&lt;</m:t>
        </m:r>
        <m:r>
          <m:t>10</m:t>
        </m:r>
        <m:r>
          <m:rPr>
            <m:nor/>
            <m:sty m:val="p"/>
          </m:rPr>
          <m:t> nT</m:t>
        </m:r>
      </m:oMath>
      <w:r>
        <w:t xml:space="preserve"> </w:t>
      </w:r>
      <w:r>
        <w:t xml:space="preserve">(or</w:t>
      </w:r>
      <w:r>
        <w:t xml:space="preserve"> </w:t>
      </w:r>
      <m:oMath>
        <m:r>
          <m:rPr>
            <m:sty m:val="p"/>
          </m:rPr>
          <m:t>&lt;</m:t>
        </m:r>
        <m:r>
          <m:t>1</m:t>
        </m:r>
        <m:r>
          <m:rPr>
            <m:nor/>
            <m:sty m:val="p"/>
          </m:rPr>
          <m:t> nT</m:t>
        </m:r>
      </m:oMath>
      <w:r>
        <w:t xml:space="preserve"> </w:t>
      </w:r>
      <w:r>
        <w:t xml:space="preserve">for deep near-null simulations) across 100% of the seed planting area.</w:t>
      </w:r>
      <w:r>
        <w:t xml:space="preserve"> </w:t>
      </w:r>
      <w:r>
        <w:t xml:space="preserve">3.</w:t>
      </w:r>
      <w:r>
        <w:t xml:space="preserve"> </w:t>
      </w:r>
      <w:r>
        <w:rPr>
          <w:b/>
          <w:bCs/>
        </w:rPr>
        <w:t xml:space="preserve">Thermal Parity:</w:t>
      </w:r>
      <w:r>
        <w:t xml:space="preserve"> </w:t>
      </w:r>
      <w:r>
        <w:t xml:space="preserve">Chamber temperature matched to</w:t>
      </w:r>
      <w:r>
        <w:t xml:space="preserve"> </w:t>
      </w:r>
      <m:oMath>
        <m:r>
          <m:rPr>
            <m:sty m:val="p"/>
          </m:rPr>
          <m:t>≤</m:t>
        </m:r>
        <m:r>
          <m:rPr>
            <m:sty m:val="p"/>
          </m:rPr>
          <m:t>±</m:t>
        </m:r>
        <m:sSup>
          <m:e>
            <m:r>
              <m:t>0.3</m:t>
            </m:r>
          </m:e>
          <m:sup>
            <m:r>
              <m:rPr>
                <m:sty m:val="p"/>
              </m:rPr>
              <m:t>∘</m:t>
            </m:r>
          </m:sup>
        </m:sSup>
        <m:r>
          <m:rPr>
            <m:nor/>
            <m:sty m:val="p"/>
          </m:rPr>
          <m:t>C</m:t>
        </m:r>
      </m:oMath>
      <w:r>
        <w:t xml:space="preserve"> </w:t>
      </w:r>
      <w:r>
        <w:t xml:space="preserve">between GMF, NNMF, and Sham chambers.</w:t>
      </w:r>
      <w:r>
        <w:t xml:space="preserve"> </w:t>
      </w:r>
      <w:r>
        <w:t xml:space="preserve">4.</w:t>
      </w:r>
      <w:r>
        <w:t xml:space="preserve"> </w:t>
      </w:r>
      <w:r>
        <w:rPr>
          <w:b/>
          <w:bCs/>
        </w:rPr>
        <w:t xml:space="preserve">Humidity Parity:</w:t>
      </w:r>
      <w:r>
        <w:t xml:space="preserve"> </w:t>
      </w:r>
      <w:r>
        <w:t xml:space="preserve">Relative humidity maintained within</w:t>
      </w:r>
      <w:r>
        <w:t xml:space="preserve"> </w:t>
      </w:r>
      <m:oMath>
        <m:r>
          <m:rPr>
            <m:sty m:val="p"/>
          </m:rPr>
          <m:t>≤</m:t>
        </m:r>
        <m:r>
          <m:rPr>
            <m:sty m:val="p"/>
          </m:rPr>
          <m:t>±</m:t>
        </m:r>
        <m:r>
          <m:t>2</m:t>
        </m:r>
        <m:r>
          <m:rPr>
            <m:sty m:val="p"/>
          </m:rPr>
          <m:t>%</m:t>
        </m:r>
      </m:oMath>
      <w:r>
        <w:t xml:space="preserve"> </w:t>
      </w:r>
      <w:r>
        <w:t xml:space="preserve">across all chambers.</w:t>
      </w:r>
      <w:r>
        <w:t xml:space="preserve"> </w:t>
      </w:r>
      <w:r>
        <w:t xml:space="preserve">5.</w:t>
      </w:r>
      <w:r>
        <w:t xml:space="preserve"> </w:t>
      </w:r>
      <w:r>
        <w:rPr>
          <w:b/>
          <w:bCs/>
        </w:rPr>
        <w:t xml:space="preserve">Photometric Parity:</w:t>
      </w:r>
      <w:r>
        <w:t xml:space="preserve"> </w:t>
      </w:r>
      <w:r>
        <w:t xml:space="preserve">Canopy PAR matched to</w:t>
      </w:r>
      <w:r>
        <w:t xml:space="preserve"> </w:t>
      </w:r>
      <m:oMath>
        <m:r>
          <m:rPr>
            <m:sty m:val="p"/>
          </m:rPr>
          <m:t>≤</m:t>
        </m:r>
        <m:r>
          <m:rPr>
            <m:sty m:val="p"/>
          </m:rPr>
          <m:t>±</m:t>
        </m:r>
        <m:r>
          <m:t>5</m:t>
        </m:r>
        <m:r>
          <m:t> </m:t>
        </m:r>
        <m:r>
          <m:t>μ</m:t>
        </m:r>
        <m:sSup>
          <m:e>
            <m:r>
              <m:rPr>
                <m:nor/>
                <m:sty m:val="p"/>
              </m:rPr>
              <m:t>mol m</m:t>
            </m:r>
          </m:e>
          <m:sup>
            <m:r>
              <m:rPr>
                <m:sty m:val="p"/>
              </m:rPr>
              <m:t>−</m:t>
            </m:r>
            <m:r>
              <m:t>2</m:t>
            </m:r>
          </m:sup>
        </m:sSup>
        <m:sSup>
          <m:e>
            <m:r>
              <m:rPr>
                <m:nor/>
                <m:sty m:val="p"/>
              </m:rPr>
              <m:t> s</m:t>
            </m:r>
          </m:e>
          <m:sup>
            <m:r>
              <m:rPr>
                <m:sty m:val="p"/>
              </m:rPr>
              <m:t>−</m:t>
            </m:r>
            <m:r>
              <m:t>1</m:t>
            </m:r>
          </m:sup>
        </m:sSup>
      </m:oMath>
      <w:r>
        <w:t xml:space="preserve"> </w:t>
      </w:r>
      <w:r>
        <w:t xml:space="preserve">with identical LED spectral power distributions.</w:t>
      </w:r>
      <w:r>
        <w:t xml:space="preserve"> </w:t>
      </w:r>
      <w:r>
        <w:t xml:space="preserve">6.</w:t>
      </w:r>
      <w:r>
        <w:t xml:space="preserve"> </w:t>
      </w:r>
      <w:r>
        <w:rPr>
          <w:b/>
          <w:bCs/>
        </w:rPr>
        <w:t xml:space="preserve">Carbon Dioxide &amp; Airflow Parity:</w:t>
      </w:r>
      <w:r>
        <w:t xml:space="preserve"> </w:t>
      </w:r>
      <w:r>
        <w:t xml:space="preserve">Ambient</w:t>
      </w:r>
      <w:r>
        <w:t xml:space="preserve"> </w:t>
      </w:r>
      <m:oMath>
        <m:sSub>
          <m:e>
            <m:r>
              <m:rPr>
                <m:nor/>
                <m:sty m:val="p"/>
              </m:rPr>
              <m:t>CO</m:t>
            </m:r>
          </m:e>
          <m:sub>
            <m:r>
              <m:t>2</m:t>
            </m:r>
          </m:sub>
        </m:sSub>
      </m:oMath>
      <w:r>
        <w:t xml:space="preserve"> </w:t>
      </w:r>
      <w:r>
        <w:t xml:space="preserve">matched within</w:t>
      </w:r>
      <w:r>
        <w:t xml:space="preserve"> </w:t>
      </w:r>
      <m:oMath>
        <m:r>
          <m:rPr>
            <m:sty m:val="p"/>
          </m:rPr>
          <m:t>≤</m:t>
        </m:r>
        <m:r>
          <m:rPr>
            <m:sty m:val="p"/>
          </m:rPr>
          <m:t>±</m:t>
        </m:r>
        <m:r>
          <m:t>50</m:t>
        </m:r>
        <m:r>
          <m:rPr>
            <m:nor/>
            <m:sty m:val="p"/>
          </m:rPr>
          <m:t> ppm</m:t>
        </m:r>
      </m:oMath>
      <w:r>
        <w:t xml:space="preserve"> </w:t>
      </w:r>
      <w:r>
        <w:t xml:space="preserve">and continuous horizontal ventilation maintained at</w:t>
      </w:r>
      <w:r>
        <w:t xml:space="preserve"> </w:t>
      </w:r>
      <m:oMath>
        <m:r>
          <m:t>0.3</m:t>
        </m:r>
        <m:r>
          <m:rPr>
            <m:nor/>
            <m:sty m:val="p"/>
          </m:rPr>
          <m:t>–</m:t>
        </m:r>
        <m:r>
          <m:t>0.5</m:t>
        </m:r>
        <m:r>
          <m:rPr>
            <m:nor/>
            <m:sty m:val="p"/>
          </m:rPr>
          <m:t> m/s</m:t>
        </m:r>
      </m:oMath>
      <w:r>
        <w:t xml:space="preserve"> </w:t>
      </w:r>
      <w:r>
        <w:t xml:space="preserve">(</w:t>
      </w:r>
      <m:oMath>
        <m:r>
          <m:rPr>
            <m:sty m:val="p"/>
          </m:rPr>
          <m:t>±</m:t>
        </m:r>
        <m:r>
          <m:t>0.05</m:t>
        </m:r>
        <m:r>
          <m:rPr>
            <m:nor/>
            <m:sty m:val="p"/>
          </m:rPr>
          <m:t> m/s</m:t>
        </m:r>
      </m:oMath>
      <w:r>
        <w:t xml:space="preserve">) to eliminate boundary layer and ethylene artifacts [7,40].</w:t>
      </w:r>
    </w:p>
    <w:bookmarkEnd w:id="49"/>
    <w:bookmarkStart w:id="50" w:name="Xc7c961386457c1f7f541608cecf357d2555e314"/>
    <w:p>
      <w:pPr>
        <w:pStyle w:val="Heading3"/>
      </w:pPr>
      <w:r>
        <w:t xml:space="preserve">6.2 Hardware Self-Magnetic Assessment Protocol &amp; Current Deconvolution</w:t>
      </w:r>
    </w:p>
    <w:p>
      <w:pPr>
        <w:pStyle w:val="FirstParagraph"/>
      </w:pPr>
      <w:r>
        <w:t xml:space="preserve">In spaceflight agricultural payloads and sealed environmental enclosures, the growth hardware itself constitutes a primary, dynamic source of magnetic interference [11]. Internal DC currents feeding LEDs, fluidic pumps, heaters, and avionics generate localized stray fields (2 to 48 µT) that vary continuously with subsystem operational power settings (Figure 6b).</w:t>
      </w:r>
    </w:p>
    <w:p>
      <w:pPr>
        <w:pStyle w:val="BodyText"/>
      </w:pPr>
      <w:r>
        <w:t xml:space="preserve">To decouple these hardware self-fields from the ambient lunar near-null environment without requiring mass-prohibitive magnetic shielding, engineering teams should execute a pre-flight</w:t>
      </w:r>
      <w:r>
        <w:t xml:space="preserve"> </w:t>
      </w:r>
      <w:r>
        <w:rPr>
          <w:b/>
          <w:bCs/>
        </w:rPr>
        <w:t xml:space="preserve">Hardware Self-Magnetic Assessment Protocol</w:t>
      </w:r>
      <w:r>
        <w:t xml:space="preserve">:</w:t>
      </w:r>
      <w:r>
        <w:t xml:space="preserve"> </w:t>
      </w:r>
      <w:r>
        <w:t xml:space="preserve">1.</w:t>
      </w:r>
      <w:r>
        <w:t xml:space="preserve"> </w:t>
      </w:r>
      <w:r>
        <w:rPr>
          <w:b/>
          <w:bCs/>
        </w:rPr>
        <w:t xml:space="preserve">Subsystem Current Sweeps:</w:t>
      </w:r>
      <w:r>
        <w:t xml:space="preserve"> </w:t>
      </w:r>
      <w:r>
        <w:t xml:space="preserve">Stepwise calibrate each subsystem independently across its dynamic range, extracting the 3-axis empirical coupling sensitivity tensor</w:t>
      </w:r>
      <w:r>
        <w:t xml:space="preserve"> </w:t>
      </w:r>
      <m:oMath>
        <m:sSub>
          <m:e>
            <m:r>
              <m:rPr>
                <m:sty m:val="bi"/>
              </m:rPr>
              <m:t>S</m:t>
            </m:r>
          </m:e>
          <m:sub>
            <m:r>
              <m:t>k</m:t>
            </m:r>
          </m:sub>
        </m:sSub>
      </m:oMath>
      <w:r>
        <w:t xml:space="preserve"> </w:t>
      </w:r>
      <w:r>
        <w:t xml:space="preserve">(</w:t>
      </w:r>
      <m:oMath>
        <m:r>
          <m:rPr>
            <m:nor/>
            <m:sty m:val="p"/>
          </m:rPr>
          <m:t>nT / A</m:t>
        </m:r>
      </m:oMath>
      <w:r>
        <w:t xml:space="preserve">):</w:t>
      </w:r>
      <w:r>
        <w:t xml:space="preserve"> </w:t>
      </w:r>
      <w:r>
        <w:t xml:space="preserve">-</w:t>
      </w:r>
      <w:r>
        <w:t xml:space="preserve"> </w:t>
      </w:r>
      <w:r>
        <w:rPr>
          <w:i/>
          <w:iCs/>
        </w:rPr>
        <w:t xml:space="preserve">LED PAR Array:</w:t>
      </w:r>
      <w:r>
        <w:t xml:space="preserve"> </w:t>
      </w:r>
      <m:oMath>
        <m:r>
          <m:t>0</m:t>
        </m:r>
        <m:r>
          <m:rPr>
            <m:nor/>
            <m:sty m:val="p"/>
          </m:rPr>
          <m:t>–</m:t>
        </m:r>
        <m:r>
          <m:t>25</m:t>
        </m:r>
        <m:r>
          <m:rPr>
            <m:nor/>
            <m:sty m:val="p"/>
          </m:rPr>
          <m:t> W</m:t>
        </m:r>
      </m:oMath>
      <w:r>
        <w:t xml:space="preserve"> </w:t>
      </w:r>
      <w:r>
        <w:t xml:space="preserve">(</w:t>
      </w:r>
      <m:oMath>
        <m:r>
          <m:t>0.1</m:t>
        </m:r>
        <m:r>
          <m:rPr>
            <m:nor/>
            <m:sty m:val="p"/>
          </m:rPr>
          <m:t>–</m:t>
        </m:r>
        <m:r>
          <m:t>1.8</m:t>
        </m:r>
        <m:r>
          <m:rPr>
            <m:nor/>
            <m:sty m:val="p"/>
          </m:rPr>
          <m:t> A</m:t>
        </m:r>
      </m:oMath>
      <w:r>
        <w:t xml:space="preserve"> </w:t>
      </w:r>
      <w:r>
        <w:t xml:space="preserve">DC), measuring</w:t>
      </w:r>
      <w:r>
        <w:t xml:space="preserve"> </w:t>
      </w:r>
      <m:oMath>
        <m:sSub>
          <m:e>
            <m:r>
              <m:rPr>
                <m:sty m:val="bi"/>
              </m:rPr>
              <m:t>S</m:t>
            </m:r>
          </m:e>
          <m:sub>
            <m:r>
              <m:rPr>
                <m:sty m:val="p"/>
              </m:rPr>
              <m:t>L</m:t>
            </m:r>
            <m:r>
              <m:rPr>
                <m:sty m:val="p"/>
              </m:rPr>
              <m:t>E</m:t>
            </m:r>
            <m:r>
              <m:rPr>
                <m:sty m:val="p"/>
              </m:rPr>
              <m:t>D</m:t>
            </m:r>
          </m:sub>
        </m:sSub>
        <m:r>
          <m:rPr>
            <m:sty m:val="p"/>
          </m:rPr>
          <m:t>≈</m:t>
        </m:r>
        <m:r>
          <m:t>8.3</m:t>
        </m:r>
        <m:r>
          <m:t> </m:t>
        </m:r>
        <m:r>
          <m:t>μ</m:t>
        </m:r>
        <m:r>
          <m:rPr>
            <m:nor/>
            <m:sty m:val="p"/>
          </m:rPr>
          <m:t>T/A</m:t>
        </m:r>
      </m:oMath>
      <w:r>
        <w:t xml:space="preserve">.</w:t>
      </w:r>
      <w:r>
        <w:t xml:space="preserve"> </w:t>
      </w:r>
      <w:r>
        <w:t xml:space="preserve">-</w:t>
      </w:r>
      <w:r>
        <w:t xml:space="preserve"> </w:t>
      </w:r>
      <w:r>
        <w:rPr>
          <w:i/>
          <w:iCs/>
        </w:rPr>
        <w:t xml:space="preserve">Fluidic Pumps:</w:t>
      </w:r>
      <w:r>
        <w:t xml:space="preserve"> </w:t>
      </w:r>
      <m:oMath>
        <m:r>
          <m:t>0</m:t>
        </m:r>
        <m:r>
          <m:rPr>
            <m:nor/>
            <m:sty m:val="p"/>
          </m:rPr>
          <m:t>–</m:t>
        </m:r>
        <m:r>
          <m:t>8</m:t>
        </m:r>
        <m:r>
          <m:rPr>
            <m:nor/>
            <m:sty m:val="p"/>
          </m:rPr>
          <m:t> W</m:t>
        </m:r>
      </m:oMath>
      <w:r>
        <w:t xml:space="preserve"> </w:t>
      </w:r>
      <w:r>
        <w:t xml:space="preserve">(</w:t>
      </w:r>
      <m:oMath>
        <m:r>
          <m:t>0.5</m:t>
        </m:r>
        <m:r>
          <m:rPr>
            <m:nor/>
            <m:sty m:val="p"/>
          </m:rPr>
          <m:t>–</m:t>
        </m:r>
        <m:r>
          <m:t>1.5</m:t>
        </m:r>
        <m:r>
          <m:rPr>
            <m:nor/>
            <m:sty m:val="p"/>
          </m:rPr>
          <m:t> A</m:t>
        </m:r>
      </m:oMath>
      <w:r>
        <w:t xml:space="preserve"> </w:t>
      </w:r>
      <w:r>
        <w:t xml:space="preserve">pulsed), measuring</w:t>
      </w:r>
      <w:r>
        <w:t xml:space="preserve"> </w:t>
      </w:r>
      <m:oMath>
        <m:sSub>
          <m:e>
            <m:r>
              <m:rPr>
                <m:sty m:val="bi"/>
              </m:rPr>
              <m:t>S</m:t>
            </m:r>
          </m:e>
          <m:sub>
            <m:r>
              <m:rPr>
                <m:sty m:val="p"/>
              </m:rPr>
              <m:t>p</m:t>
            </m:r>
            <m:r>
              <m:rPr>
                <m:sty m:val="p"/>
              </m:rPr>
              <m:t>u</m:t>
            </m:r>
            <m:r>
              <m:rPr>
                <m:sty m:val="p"/>
              </m:rPr>
              <m:t>m</m:t>
            </m:r>
            <m:r>
              <m:rPr>
                <m:sty m:val="p"/>
              </m:rPr>
              <m:t>p</m:t>
            </m:r>
          </m:sub>
        </m:sSub>
        <m:r>
          <m:rPr>
            <m:sty m:val="p"/>
          </m:rPr>
          <m:t>≈</m:t>
        </m:r>
        <m:r>
          <m:t>23.3</m:t>
        </m:r>
        <m:r>
          <m:t> </m:t>
        </m:r>
        <m:r>
          <m:t>μ</m:t>
        </m:r>
        <m:r>
          <m:rPr>
            <m:nor/>
            <m:sty m:val="p"/>
          </m:rPr>
          <m:t>T/A</m:t>
        </m:r>
      </m:oMath>
      <w:r>
        <w:t xml:space="preserve">.</w:t>
      </w:r>
      <w:r>
        <w:t xml:space="preserve"> </w:t>
      </w:r>
      <w:r>
        <w:t xml:space="preserve">-</w:t>
      </w:r>
      <w:r>
        <w:t xml:space="preserve"> </w:t>
      </w:r>
      <w:r>
        <w:rPr>
          <w:i/>
          <w:iCs/>
        </w:rPr>
        <w:t xml:space="preserve">Thermal Control:</w:t>
      </w:r>
      <w:r>
        <w:t xml:space="preserve"> </w:t>
      </w:r>
      <m:oMath>
        <m:r>
          <m:t>0</m:t>
        </m:r>
        <m:r>
          <m:rPr>
            <m:nor/>
            <m:sty m:val="p"/>
          </m:rPr>
          <m:t>–</m:t>
        </m:r>
        <m:r>
          <m:t>30</m:t>
        </m:r>
        <m:r>
          <m:rPr>
            <m:nor/>
            <m:sty m:val="p"/>
          </m:rPr>
          <m:t> W</m:t>
        </m:r>
      </m:oMath>
      <w:r>
        <w:t xml:space="preserve"> </w:t>
      </w:r>
      <w:r>
        <w:t xml:space="preserve">(</w:t>
      </w:r>
      <m:oMath>
        <m:r>
          <m:t>1.0</m:t>
        </m:r>
        <m:r>
          <m:rPr>
            <m:nor/>
            <m:sty m:val="p"/>
          </m:rPr>
          <m:t>–</m:t>
        </m:r>
        <m:r>
          <m:t>2.5</m:t>
        </m:r>
        <m:r>
          <m:rPr>
            <m:nor/>
            <m:sty m:val="p"/>
          </m:rPr>
          <m:t> A</m:t>
        </m:r>
      </m:oMath>
      <w:r>
        <w:t xml:space="preserve"> </w:t>
      </w:r>
      <w:r>
        <w:t xml:space="preserve">continuous), measuring</w:t>
      </w:r>
      <w:r>
        <w:t xml:space="preserve"> </w:t>
      </w:r>
      <m:oMath>
        <m:sSub>
          <m:e>
            <m:r>
              <m:rPr>
                <m:sty m:val="bi"/>
              </m:rPr>
              <m:t>S</m:t>
            </m:r>
          </m:e>
          <m:sub>
            <m:r>
              <m:rPr>
                <m:sty m:val="p"/>
              </m:rPr>
              <m:t>t</m:t>
            </m:r>
            <m:r>
              <m:rPr>
                <m:sty m:val="p"/>
              </m:rPr>
              <m:t>h</m:t>
            </m:r>
            <m:r>
              <m:rPr>
                <m:sty m:val="p"/>
              </m:rPr>
              <m:t>e</m:t>
            </m:r>
            <m:r>
              <m:rPr>
                <m:sty m:val="p"/>
              </m:rPr>
              <m:t>r</m:t>
            </m:r>
            <m:r>
              <m:rPr>
                <m:sty m:val="p"/>
              </m:rPr>
              <m:t>m</m:t>
            </m:r>
            <m:r>
              <m:rPr>
                <m:sty m:val="p"/>
              </m:rPr>
              <m:t>a</m:t>
            </m:r>
            <m:r>
              <m:rPr>
                <m:sty m:val="p"/>
              </m:rPr>
              <m:t>l</m:t>
            </m:r>
          </m:sub>
        </m:sSub>
        <m:r>
          <m:rPr>
            <m:sty m:val="p"/>
          </m:rPr>
          <m:t>≈</m:t>
        </m:r>
        <m:r>
          <m:t>19.2</m:t>
        </m:r>
        <m:r>
          <m:t> </m:t>
        </m:r>
        <m:r>
          <m:t>μ</m:t>
        </m:r>
        <m:r>
          <m:rPr>
            <m:nor/>
            <m:sty m:val="p"/>
          </m:rPr>
          <m:t>T/A</m:t>
        </m:r>
      </m:oMath>
      <w:r>
        <w:t xml:space="preserve">.</w:t>
      </w:r>
      <w:r>
        <w:t xml:space="preserve"> </w:t>
      </w:r>
      <w:r>
        <w:t xml:space="preserve">-</w:t>
      </w:r>
      <w:r>
        <w:t xml:space="preserve"> </w:t>
      </w:r>
      <w:r>
        <w:rPr>
          <w:i/>
          <w:iCs/>
        </w:rPr>
        <w:t xml:space="preserve">Avionics Bus:</w:t>
      </w:r>
      <w:r>
        <w:t xml:space="preserve"> </w:t>
      </w:r>
      <m:oMath>
        <m:r>
          <m:t>3</m:t>
        </m:r>
        <m:r>
          <m:rPr>
            <m:nor/>
            <m:sty m:val="p"/>
          </m:rPr>
          <m:t>–</m:t>
        </m:r>
        <m:r>
          <m:t>12</m:t>
        </m:r>
        <m:r>
          <m:rPr>
            <m:nor/>
            <m:sty m:val="p"/>
          </m:rPr>
          <m:t> W</m:t>
        </m:r>
      </m:oMath>
      <w:r>
        <w:t xml:space="preserve"> </w:t>
      </w:r>
      <w:r>
        <w:t xml:space="preserve">(</w:t>
      </w:r>
      <m:oMath>
        <m:r>
          <m:t>0.2</m:t>
        </m:r>
        <m:r>
          <m:rPr>
            <m:nor/>
            <m:sty m:val="p"/>
          </m:rPr>
          <m:t>–</m:t>
        </m:r>
        <m:r>
          <m:t>0.8</m:t>
        </m:r>
        <m:r>
          <m:rPr>
            <m:nor/>
            <m:sty m:val="p"/>
          </m:rPr>
          <m:t> A</m:t>
        </m:r>
      </m:oMath>
      <w:r>
        <w:t xml:space="preserve"> </w:t>
      </w:r>
      <w:r>
        <w:t xml:space="preserve">baseline), measuring</w:t>
      </w:r>
      <w:r>
        <w:t xml:space="preserve"> </w:t>
      </w:r>
      <m:oMath>
        <m:sSub>
          <m:e>
            <m:r>
              <m:rPr>
                <m:sty m:val="bi"/>
              </m:rPr>
              <m:t>S</m:t>
            </m:r>
          </m:e>
          <m:sub>
            <m:r>
              <m:rPr>
                <m:sty m:val="p"/>
              </m:rPr>
              <m:t>b</m:t>
            </m:r>
            <m:r>
              <m:rPr>
                <m:sty m:val="p"/>
              </m:rPr>
              <m:t>u</m:t>
            </m:r>
            <m:r>
              <m:rPr>
                <m:sty m:val="p"/>
              </m:rPr>
              <m:t>s</m:t>
            </m:r>
          </m:sub>
        </m:sSub>
        <m:r>
          <m:rPr>
            <m:sty m:val="p"/>
          </m:rPr>
          <m:t>≈</m:t>
        </m:r>
        <m:r>
          <m:t>5.0</m:t>
        </m:r>
        <m:r>
          <m:t> </m:t>
        </m:r>
        <m:r>
          <m:t>μ</m:t>
        </m:r>
        <m:r>
          <m:rPr>
            <m:nor/>
            <m:sty m:val="p"/>
          </m:rPr>
          <m:t>T/A</m:t>
        </m:r>
      </m:oMath>
      <w:r>
        <w:t xml:space="preserve">.</w:t>
      </w:r>
      <w:r>
        <w:t xml:space="preserve"> </w:t>
      </w:r>
      <w:r>
        <w:t xml:space="preserve">2.</w:t>
      </w:r>
      <w:r>
        <w:t xml:space="preserve"> </w:t>
      </w:r>
      <w:r>
        <w:rPr>
          <w:b/>
          <w:bCs/>
        </w:rPr>
        <w:t xml:space="preserve">Current-Parameterized Computational Deconvolution:</w:t>
      </w:r>
      <w:r>
        <w:t xml:space="preserve"> </w:t>
      </w:r>
      <w:r>
        <w:t xml:space="preserve">By logging subsystem current telemetry (</w:t>
      </w:r>
      <m:oMath>
        <m:sSub>
          <m:e>
            <m:r>
              <m:t>I</m:t>
            </m:r>
          </m:e>
          <m:sub>
            <m:r>
              <m:t>k</m:t>
            </m:r>
          </m:sub>
        </m:sSub>
        <m:r>
          <m:rPr>
            <m:sty m:val="p"/>
          </m:rPr>
          <m:t>(</m:t>
        </m:r>
        <m:r>
          <m:t>t</m:t>
        </m:r>
        <m:r>
          <m:rPr>
            <m:sty m:val="p"/>
          </m:rPr>
          <m:t>)</m:t>
        </m:r>
      </m:oMath>
      <w:r>
        <w:t xml:space="preserve">) alongside the 3-axis canopy magnetometer vector (</w:t>
      </w:r>
      <m:oMath>
        <m:sSub>
          <m:e>
            <m:r>
              <m:rPr>
                <m:sty m:val="bi"/>
              </m:rPr>
              <m:t>B</m:t>
            </m:r>
          </m:e>
          <m:sub>
            <m:r>
              <m:rPr>
                <m:sty m:val="p"/>
              </m:rPr>
              <m:t>s</m:t>
            </m:r>
            <m:r>
              <m:rPr>
                <m:sty m:val="p"/>
              </m:rPr>
              <m:t>e</m:t>
            </m:r>
            <m:r>
              <m:rPr>
                <m:sty m:val="p"/>
              </m:rPr>
              <m:t>n</m:t>
            </m:r>
            <m:r>
              <m:rPr>
                <m:sty m:val="p"/>
              </m:rPr>
              <m:t>s</m:t>
            </m:r>
            <m:r>
              <m:rPr>
                <m:sty m:val="p"/>
              </m:rPr>
              <m:t>o</m:t>
            </m:r>
            <m:r>
              <m:rPr>
                <m:sty m:val="p"/>
              </m:rPr>
              <m:t>r</m:t>
            </m:r>
          </m:sub>
        </m:sSub>
        <m:r>
          <m:rPr>
            <m:sty m:val="p"/>
          </m:rPr>
          <m:t>(</m:t>
        </m:r>
        <m:r>
          <m:t>t</m:t>
        </m:r>
        <m:r>
          <m:rPr>
            <m:sty m:val="p"/>
          </m:rPr>
          <m:t>)</m:t>
        </m:r>
      </m:oMath>
      <w:r>
        <w:t xml:space="preserve">), the true ambient lunar magnetic field is computationally reconstructed via:</w:t>
      </w:r>
    </w:p>
    <w:p>
      <w:pPr>
        <w:pStyle w:val="BodyText"/>
      </w:pPr>
      <m:oMathPara>
        <m:oMathParaPr>
          <m:jc m:val="center"/>
        </m:oMathParaPr>
        <m:oMath>
          <m:sSub>
            <m:e>
              <m:r>
                <m:rPr>
                  <m:sty m:val="bi"/>
                </m:rPr>
                <m:t>B</m:t>
              </m:r>
            </m:e>
            <m:sub>
              <m:r>
                <m:rPr>
                  <m:sty m:val="p"/>
                </m:rPr>
                <m:t>a</m:t>
              </m:r>
              <m:r>
                <m:rPr>
                  <m:sty m:val="p"/>
                </m:rPr>
                <m:t>m</m:t>
              </m:r>
              <m:r>
                <m:rPr>
                  <m:sty m:val="p"/>
                </m:rPr>
                <m:t>b</m:t>
              </m:r>
              <m:r>
                <m:rPr>
                  <m:sty m:val="p"/>
                </m:rPr>
                <m:t>i</m:t>
              </m:r>
              <m:r>
                <m:rPr>
                  <m:sty m:val="p"/>
                </m:rPr>
                <m:t>e</m:t>
              </m:r>
              <m:r>
                <m:rPr>
                  <m:sty m:val="p"/>
                </m:rPr>
                <m:t>n</m:t>
              </m:r>
              <m:r>
                <m:rPr>
                  <m:sty m:val="p"/>
                </m:rPr>
                <m:t>t</m:t>
              </m:r>
            </m:sub>
          </m:sSub>
          <m:r>
            <m:rPr>
              <m:sty m:val="p"/>
            </m:rPr>
            <m:t>(</m:t>
          </m:r>
          <m:r>
            <m:t>t</m:t>
          </m:r>
          <m:r>
            <m:rPr>
              <m:sty m:val="p"/>
            </m:rPr>
            <m:t>)</m:t>
          </m:r>
          <m:r>
            <m:rPr>
              <m:sty m:val="p"/>
            </m:rPr>
            <m:t>=</m:t>
          </m:r>
          <m:sSub>
            <m:e>
              <m:r>
                <m:rPr>
                  <m:sty m:val="bi"/>
                </m:rPr>
                <m:t>B</m:t>
              </m:r>
            </m:e>
            <m:sub>
              <m:r>
                <m:rPr>
                  <m:sty m:val="p"/>
                </m:rPr>
                <m:t>s</m:t>
              </m:r>
              <m:r>
                <m:rPr>
                  <m:sty m:val="p"/>
                </m:rPr>
                <m:t>e</m:t>
              </m:r>
              <m:r>
                <m:rPr>
                  <m:sty m:val="p"/>
                </m:rPr>
                <m:t>n</m:t>
              </m:r>
              <m:r>
                <m:rPr>
                  <m:sty m:val="p"/>
                </m:rPr>
                <m:t>s</m:t>
              </m:r>
              <m:r>
                <m:rPr>
                  <m:sty m:val="p"/>
                </m:rPr>
                <m:t>o</m:t>
              </m:r>
              <m:r>
                <m:rPr>
                  <m:sty m:val="p"/>
                </m:rPr>
                <m:t>r</m:t>
              </m:r>
            </m:sub>
          </m:sSub>
          <m:r>
            <m:rPr>
              <m:sty m:val="p"/>
            </m:rPr>
            <m:t>(</m:t>
          </m:r>
          <m:r>
            <m:t>t</m:t>
          </m:r>
          <m:r>
            <m:rPr>
              <m:sty m:val="p"/>
            </m:rPr>
            <m:t>)</m:t>
          </m:r>
          <m:r>
            <m:rPr>
              <m:sty m:val="p"/>
            </m:rPr>
            <m:t>−</m:t>
          </m:r>
          <m:nary>
            <m:naryPr>
              <m:chr m:val="∑"/>
              <m:limLoc m:val="undOvr"/>
              <m:subHide m:val="off"/>
              <m:supHide m:val="on"/>
            </m:naryPr>
            <m:sub>
              <m:r>
                <m:t>k</m:t>
              </m:r>
            </m:sub>
            <m:sup>
              <m:r>
                <m:t>​</m:t>
              </m:r>
            </m:sup>
            <m:e>
              <m:sSub>
                <m:e>
                  <m:r>
                    <m:rPr>
                      <m:sty m:val="bi"/>
                    </m:rPr>
                    <m:t>S</m:t>
                  </m:r>
                </m:e>
                <m:sub>
                  <m:r>
                    <m:t>k</m:t>
                  </m:r>
                </m:sub>
              </m:sSub>
            </m:e>
          </m:nary>
          <m:r>
            <m:rPr>
              <m:sty m:val="p"/>
            </m:rPr>
            <m:t>⋅</m:t>
          </m:r>
          <m:sSub>
            <m:e>
              <m:r>
                <m:t>I</m:t>
              </m:r>
            </m:e>
            <m:sub>
              <m:r>
                <m:t>k</m:t>
              </m:r>
            </m:sub>
          </m:sSub>
          <m:r>
            <m:rPr>
              <m:sty m:val="p"/>
            </m:rPr>
            <m:t>(</m:t>
          </m:r>
          <m:r>
            <m:t>t</m:t>
          </m:r>
          <m:r>
            <m:rPr>
              <m:sty m:val="p"/>
            </m:rPr>
            <m:t>)</m:t>
          </m:r>
        </m:oMath>
      </m:oMathPara>
    </w:p>
    <w:p>
      <w:pPr>
        <w:pStyle w:val="FirstParagraph"/>
      </w:pPr>
      <w:r>
        <w:t xml:space="preserve">3.</w:t>
      </w:r>
      <w:r>
        <w:t xml:space="preserve"> </w:t>
      </w:r>
      <w:r>
        <w:rPr>
          <w:b/>
          <w:bCs/>
        </w:rPr>
        <w:t xml:space="preserve">Uncertainty Budget:</w:t>
      </w:r>
      <w:r>
        <w:t xml:space="preserve"> </w:t>
      </w:r>
      <w:r>
        <w:t xml:space="preserve">Laboratory validation of this deconvolution transfer function demonstrates an achievable</w:t>
      </w:r>
      <w:r>
        <w:t xml:space="preserve"> </w:t>
      </w:r>
      <w:r>
        <w:rPr>
          <w:b/>
          <w:bCs/>
        </w:rPr>
        <w:t xml:space="preserve">residual uncertainty of</w:t>
      </w:r>
      <w:r>
        <w:rPr>
          <w:b/>
          <w:bCs/>
        </w:rPr>
        <w:t xml:space="preserve"> </w:t>
      </w:r>
      <m:oMath>
        <m:r>
          <m:rPr>
            <m:sty m:val="p"/>
          </m:rPr>
          <m:t>±</m:t>
        </m:r>
        <m:r>
          <m:t>2</m:t>
        </m:r>
        <m:r>
          <m:rPr>
            <m:nor/>
            <m:sty m:val="p"/>
          </m:rPr>
          <m:t> to </m:t>
        </m:r>
        <m:r>
          <m:t>5</m:t>
        </m:r>
        <m:r>
          <m:rPr>
            <m:nor/>
            <m:sty m:val="p"/>
          </m:rPr>
          <m:t> nT</m:t>
        </m:r>
      </m:oMath>
      <w:r>
        <w:rPr>
          <w:b/>
          <w:bCs/>
        </w:rPr>
        <w:t xml:space="preserve"> </w:t>
      </w:r>
      <w:r>
        <w:rPr>
          <w:b/>
          <w:bCs/>
        </w:rPr>
        <w:t xml:space="preserve">RMS error</w:t>
      </w:r>
      <w:r>
        <w:t xml:space="preserve"> </w:t>
      </w:r>
      <w:r>
        <w:t xml:space="preserve">in the presence of</w:t>
      </w:r>
      <w:r>
        <w:t xml:space="preserve"> </w:t>
      </w:r>
      <m:oMath>
        <m:r>
          <m:t>20</m:t>
        </m:r>
        <m:r>
          <m:rPr>
            <m:nor/>
            <m:sty m:val="p"/>
          </m:rPr>
          <m:t> to </m:t>
        </m:r>
        <m:r>
          <m:t>50</m:t>
        </m:r>
        <m:r>
          <m:t> </m:t>
        </m:r>
        <m:r>
          <m:t>μ</m:t>
        </m:r>
        <m:r>
          <m:rPr>
            <m:nor/>
            <m:sty m:val="p"/>
          </m:rPr>
          <m:t>T</m:t>
        </m:r>
      </m:oMath>
      <w:r>
        <w:t xml:space="preserve"> </w:t>
      </w:r>
      <w:r>
        <w:t xml:space="preserve">DC spacecraft background fields, fully adequate to detect ambient lunar crustal transitions and verify hypomagnetic exposure.</w:t>
      </w:r>
    </w:p>
    <w:bookmarkEnd w:id="50"/>
    <w:bookmarkStart w:id="51" w:name="Xf31f061348310ff50a9ef45a4bf9bcd6965eeea"/>
    <w:p>
      <w:pPr>
        <w:pStyle w:val="Heading3"/>
      </w:pPr>
      <w:r>
        <w:t xml:space="preserve">6.3 Operational Flight Decision Matrix and Evidence Tiers</w:t>
      </w:r>
    </w:p>
    <w:p>
      <w:pPr>
        <w:pStyle w:val="FirstParagraph"/>
      </w:pPr>
      <w:r>
        <w:t xml:space="preserve">Table 4 integrates these biophysical, temporal, and operational constraints into an actionable decision matrix for spaceflight biology teams.</w:t>
      </w:r>
    </w:p>
    <w:p>
      <w:pPr>
        <w:pStyle w:val="BodyText"/>
      </w:pPr>
      <w:r>
        <w:rPr>
          <w:b/>
          <w:bCs/>
        </w:rPr>
        <w:t xml:space="preserve">Table 4 | Operational flight risk decision matrix for space plant biology.</w:t>
      </w:r>
      <w:r>
        <w:t xml:space="preserve"> </w:t>
      </w:r>
      <w:r>
        <w:t xml:space="preserve">Diagnostic criteria, evidence tiers (T1–T4), critical time windows, flight engineering feasibility, operational radiation thresholds, and causal validation pipelines to decouple Near-Null Magnetic Fields from Lunar Partial Gravity and Deep-Space Ionizing Radiation during early seedling establishment.</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jc w:val="left"/>
            </w:pPr>
            <w:r>
              <w:t xml:space="preserve">Stressor / Variable</w:t>
            </w:r>
          </w:p>
        </w:tc>
        <w:tc>
          <w:tcPr/>
          <w:p>
            <w:pPr>
              <w:pStyle w:val="Compact"/>
              <w:jc w:val="left"/>
            </w:pPr>
            <w:r>
              <w:t xml:space="preserve">Biophysical Mechanism &amp; Evidence Tier</w:t>
            </w:r>
          </w:p>
        </w:tc>
        <w:tc>
          <w:tcPr/>
          <w:p>
            <w:pPr>
              <w:pStyle w:val="Compact"/>
              <w:jc w:val="left"/>
            </w:pPr>
            <w:r>
              <w:t xml:space="preserve">Critical Time Window</w:t>
            </w:r>
          </w:p>
        </w:tc>
        <w:tc>
          <w:tcPr/>
          <w:p>
            <w:pPr>
              <w:pStyle w:val="Compact"/>
              <w:jc w:val="left"/>
            </w:pPr>
            <w:r>
              <w:t xml:space="preserve">Flight Payload Feasibility</w:t>
            </w:r>
          </w:p>
        </w:tc>
        <w:tc>
          <w:tcPr/>
          <w:p>
            <w:pPr>
              <w:pStyle w:val="Compact"/>
              <w:jc w:val="left"/>
            </w:pPr>
            <w:r>
              <w:t xml:space="preserve">Emergence &amp; Growth Phenotype</w:t>
            </w:r>
          </w:p>
        </w:tc>
        <w:tc>
          <w:tcPr/>
          <w:p>
            <w:pPr>
              <w:pStyle w:val="Compact"/>
              <w:jc w:val="left"/>
            </w:pPr>
            <w:r>
              <w:t xml:space="preserve">Diagnostic Biomarkers</w:t>
            </w:r>
          </w:p>
        </w:tc>
        <w:tc>
          <w:tcPr/>
          <w:p>
            <w:pPr>
              <w:pStyle w:val="Compact"/>
              <w:jc w:val="left"/>
            </w:pPr>
            <w:r>
              <w:t xml:space="preserve">Operational Countermeasure</w:t>
            </w:r>
          </w:p>
        </w:tc>
        <w:tc>
          <w:tcPr/>
          <w:p>
            <w:pPr>
              <w:pStyle w:val="Compact"/>
              <w:jc w:val="left"/>
            </w:pPr>
            <w:r>
              <w:t xml:space="preserve">Causal Validation Pipeline</w:t>
            </w:r>
          </w:p>
        </w:tc>
      </w:tr>
      <w:tr>
        <w:tc>
          <w:tcPr/>
          <w:p>
            <w:pPr>
              <w:pStyle w:val="Compact"/>
              <w:jc w:val="left"/>
            </w:pPr>
            <w:r>
              <w:rPr>
                <w:b/>
                <w:bCs/>
              </w:rPr>
              <w:t xml:space="preserve">Near-Null Magnetic Field (&lt;1 nT)</w:t>
            </w:r>
          </w:p>
        </w:tc>
        <w:tc>
          <w:tcPr/>
          <w:p>
            <w:pPr>
              <w:pStyle w:val="Compact"/>
              <w:jc w:val="left"/>
            </w:pPr>
            <w:r>
              <w:t xml:space="preserve">Cryptochrome radical pair</w:t>
            </w:r>
            <w:r>
              <w:t xml:space="preserve"> </w:t>
            </w:r>
            <m:oMath>
              <m:r>
                <m:rPr>
                  <m:sty m:val="p"/>
                </m:rPr>
                <m:t>[</m:t>
              </m:r>
              <m:sSup>
                <m:e>
                  <m:r>
                    <m:rPr>
                      <m:nor/>
                      <m:sty m:val="p"/>
                    </m:rPr>
                    <m:t>FAD</m:t>
                  </m:r>
                </m:e>
                <m:sup>
                  <m:r>
                    <m:rPr>
                      <m:sty m:val="p"/>
                    </m:rPr>
                    <m:t>•</m:t>
                  </m:r>
                  <m:r>
                    <m:rPr>
                      <m:sty m:val="p"/>
                    </m:rPr>
                    <m:t>−</m:t>
                  </m:r>
                </m:sup>
              </m:sSup>
              <m:r>
                <m:rPr>
                  <m:sty m:val="p"/>
                </m:rPr>
                <m:t>⋯</m:t>
              </m:r>
              <m:sSup>
                <m:e>
                  <m:r>
                    <m:rPr>
                      <m:nor/>
                      <m:sty m:val="p"/>
                    </m:rPr>
                    <m:t>TrpH</m:t>
                  </m:r>
                </m:e>
                <m:sup>
                  <m:r>
                    <m:rPr>
                      <m:sty m:val="p"/>
                    </m:rPr>
                    <m:t>•</m:t>
                  </m:r>
                  <m:r>
                    <m:rPr>
                      <m:sty m:val="p"/>
                    </m:rPr>
                    <m:t>+</m:t>
                  </m:r>
                </m:sup>
              </m:sSup>
              <m:r>
                <m:rPr>
                  <m:sty m:val="p"/>
                </m:rPr>
                <m:t>]</m:t>
              </m:r>
            </m:oMath>
            <w:r>
              <w:t xml:space="preserve"> </w:t>
            </w:r>
            <w:r>
              <w:t xml:space="preserve">(Tier 1); SDP1 lipid mobilization &amp; AOX1D (Tier 2)</w:t>
            </w:r>
          </w:p>
        </w:tc>
        <w:tc>
          <w:tcPr/>
          <w:p>
            <w:pPr>
              <w:pStyle w:val="Compact"/>
              <w:jc w:val="left"/>
            </w:pPr>
            <w:r>
              <w:t xml:space="preserve">Phase I (0–72 h) &amp; Phase II (72–120 h)</w:t>
            </w:r>
          </w:p>
        </w:tc>
        <w:tc>
          <w:tcPr/>
          <w:p>
            <w:pPr>
              <w:pStyle w:val="Compact"/>
              <w:jc w:val="left"/>
            </w:pPr>
            <w:r>
              <w:rPr>
                <w:b/>
                <w:bCs/>
              </w:rPr>
              <w:t xml:space="preserve">High</w:t>
            </w:r>
            <w:r>
              <w:t xml:space="preserve"> </w:t>
            </w:r>
            <w:r>
              <w:t xml:space="preserve">(3-axis passive AMR canopy magnetometry,</w:t>
            </w:r>
            <w:r>
              <w:t xml:space="preserve"> </w:t>
            </w:r>
            <m:oMath>
              <m:r>
                <m:rPr>
                  <m:sty m:val="p"/>
                </m:rPr>
                <m:t>&lt;</m:t>
              </m:r>
              <m:r>
                <m:t>1</m:t>
              </m:r>
              <m:r>
                <m:rPr>
                  <m:nor/>
                  <m:sty m:val="p"/>
                </m:rPr>
                <m:t> W</m:t>
              </m:r>
            </m:oMath>
            <w:r>
              <w:t xml:space="preserve">,</w:t>
            </w:r>
            <w:r>
              <w:t xml:space="preserve"> </w:t>
            </w:r>
            <m:oMath>
              <m:r>
                <m:rPr>
                  <m:sty m:val="p"/>
                </m:rPr>
                <m:t>&lt;</m:t>
              </m:r>
              <m:r>
                <m:t>50</m:t>
              </m:r>
              <m:r>
                <m:rPr>
                  <m:nor/>
                  <m:sty m:val="p"/>
                </m:rPr>
                <m:t> g</m:t>
              </m:r>
            </m:oMath>
            <w:r>
              <w:t xml:space="preserve">)</w:t>
            </w:r>
          </w:p>
        </w:tc>
        <w:tc>
          <w:tcPr/>
          <w:p>
            <w:pPr>
              <w:pStyle w:val="Compact"/>
              <w:jc w:val="left"/>
            </w:pPr>
            <w:r>
              <w:t xml:space="preserve">Emergence lag (</w:t>
            </w:r>
            <m:oMath>
              <m:r>
                <m:rPr>
                  <m:sty m:val="p"/>
                </m:rPr>
                <m:t>Δ</m:t>
              </m:r>
              <m:sSub>
                <m:e>
                  <m:r>
                    <m:t>t</m:t>
                  </m:r>
                </m:e>
                <m:sub>
                  <m:r>
                    <m:t>50</m:t>
                  </m:r>
                </m:sub>
              </m:sSub>
              <m:r>
                <m:rPr>
                  <m:sty m:val="p"/>
                </m:rPr>
                <m:t>=</m:t>
              </m:r>
              <m:r>
                <m:rPr>
                  <m:sty m:val="p"/>
                </m:rPr>
                <m:t>+</m:t>
              </m:r>
              <m:r>
                <m:t>12</m:t>
              </m:r>
              <m:r>
                <m:rPr>
                  <m:nor/>
                  <m:sty m:val="p"/>
                </m:rPr>
                <m:t>–</m:t>
              </m:r>
              <m:r>
                <m:t>36</m:t>
              </m:r>
              <m:r>
                <m:rPr>
                  <m:nor/>
                  <m:sty m:val="p"/>
                </m:rPr>
                <m:t> h</m:t>
              </m:r>
            </m:oMath>
            <w:r>
              <w:t xml:space="preserve">);</w:t>
            </w:r>
            <w:r>
              <w:t xml:space="preserve"> </w:t>
            </w:r>
            <m:oMath>
              <m:r>
                <m:rPr>
                  <m:sty m:val="p"/>
                </m:rPr>
                <m:t>−</m:t>
              </m:r>
              <m:r>
                <m:t>10</m:t>
              </m:r>
              <m:r>
                <m:rPr>
                  <m:nor/>
                  <m:sty m:val="p"/>
                </m:rPr>
                <m:t> to </m:t>
              </m:r>
              <m:r>
                <m:rPr>
                  <m:sty m:val="p"/>
                </m:rPr>
                <m:t>−</m:t>
              </m:r>
              <m:r>
                <m:t>30</m:t>
              </m:r>
              <m:r>
                <m:rPr>
                  <m:sty m:val="p"/>
                </m:rPr>
                <m:t>%</m:t>
              </m:r>
            </m:oMath>
            <w:r>
              <w:t xml:space="preserve"> </w:t>
            </w:r>
            <w:r>
              <w:t xml:space="preserve">capacity; repressed greening</w:t>
            </w:r>
          </w:p>
        </w:tc>
        <w:tc>
          <w:tcPr/>
          <w:p>
            <w:pPr>
              <w:pStyle w:val="Compact"/>
              <w:jc w:val="left"/>
            </w:pPr>
            <w:r>
              <w:rPr>
                <w:i/>
                <w:iCs/>
              </w:rPr>
              <w:t xml:space="preserve">HEMA1</w:t>
            </w:r>
            <w:r>
              <w:t xml:space="preserve">,</w:t>
            </w:r>
            <w:r>
              <w:t xml:space="preserve"> </w:t>
            </w:r>
            <w:r>
              <w:rPr>
                <w:i/>
                <w:iCs/>
              </w:rPr>
              <w:t xml:space="preserve">POR</w:t>
            </w:r>
            <w:r>
              <w:t xml:space="preserve">,</w:t>
            </w:r>
            <w:r>
              <w:t xml:space="preserve"> </w:t>
            </w:r>
            <w:r>
              <w:rPr>
                <w:i/>
                <w:iCs/>
              </w:rPr>
              <w:t xml:space="preserve">CHS</w:t>
            </w:r>
            <w:r>
              <w:t xml:space="preserve"> </w:t>
            </w:r>
            <w:r>
              <w:t xml:space="preserve">repression;</w:t>
            </w:r>
            <w:r>
              <w:t xml:space="preserve"> </w:t>
            </w:r>
            <w:r>
              <w:rPr>
                <w:i/>
                <w:iCs/>
              </w:rPr>
              <w:t xml:space="preserve">AOX1D</w:t>
            </w:r>
            <w:r>
              <w:t xml:space="preserve">,</w:t>
            </w:r>
            <w:r>
              <w:t xml:space="preserve"> </w:t>
            </w:r>
            <w:r>
              <w:rPr>
                <w:i/>
                <w:iCs/>
              </w:rPr>
              <w:t xml:space="preserve">CAT3</w:t>
            </w:r>
            <w:r>
              <w:t xml:space="preserve"> </w:t>
            </w:r>
            <w:r>
              <w:t xml:space="preserve">induction; absent</w:t>
            </w:r>
            <w:r>
              <w:t xml:space="preserve"> </w:t>
            </w:r>
            <m:oMath>
              <m:r>
                <m:t>γ</m:t>
              </m:r>
            </m:oMath>
            <w:r>
              <w:t xml:space="preserve">-H2AX</w:t>
            </w:r>
          </w:p>
        </w:tc>
        <w:tc>
          <w:tcPr/>
          <w:p>
            <w:pPr>
              <w:pStyle w:val="Compact"/>
              <w:jc w:val="left"/>
            </w:pPr>
            <w:r>
              <w:t xml:space="preserve">Supplementary Fe-EDTA nutrient soak; seed sowing density</w:t>
            </w:r>
            <w:r>
              <w:t xml:space="preserve"> </w:t>
            </w:r>
            <m:oMath>
              <m:r>
                <m:rPr>
                  <m:sty m:val="p"/>
                </m:rPr>
                <m:t>+</m:t>
              </m:r>
              <m:r>
                <m:t>25</m:t>
              </m:r>
              <m:r>
                <m:rPr>
                  <m:sty m:val="p"/>
                </m:rPr>
                <m:t>%</m:t>
              </m:r>
            </m:oMath>
          </w:p>
        </w:tc>
        <w:tc>
          <w:tcPr/>
          <w:p>
            <w:pPr>
              <w:pStyle w:val="Compact"/>
              <w:jc w:val="left"/>
            </w:pPr>
            <w:r>
              <w:t xml:space="preserve">Ground 3-chamber bifilar sham; in situ</w:t>
            </w:r>
            <w:r>
              <w:t xml:space="preserve"> </w:t>
            </w:r>
            <m:oMath>
              <m:r>
                <m:t>45</m:t>
              </m:r>
              <m:r>
                <m:t> </m:t>
              </m:r>
              <m:r>
                <m:t>μ</m:t>
              </m:r>
              <m:r>
                <m:rPr>
                  <m:nor/>
                  <m:sty m:val="p"/>
                </m:rPr>
                <m:t>T</m:t>
              </m:r>
            </m:oMath>
            <w:r>
              <w:t xml:space="preserve"> </w:t>
            </w:r>
            <w:r>
              <w:t xml:space="preserve">vector re-application (1g-insensitive)</w:t>
            </w:r>
          </w:p>
        </w:tc>
      </w:tr>
      <w:tr>
        <w:tc>
          <w:tcPr/>
          <w:p>
            <w:pPr>
              <w:pStyle w:val="Compact"/>
              <w:jc w:val="left"/>
            </w:pPr>
            <w:r>
              <w:rPr>
                <w:b/>
                <w:bCs/>
              </w:rPr>
              <w:t xml:space="preserve">Lunar Partial Gravity (</w:t>
            </w:r>
            <m:oMath>
              <m:r>
                <m:t>0.166</m:t>
              </m:r>
              <m:r>
                <m:t> </m:t>
              </m:r>
              <m:r>
                <m:t>g</m:t>
              </m:r>
            </m:oMath>
            <w:r>
              <w:rPr>
                <w:b/>
                <w:bCs/>
              </w:rPr>
              <w:t xml:space="preserve">)</w:t>
            </w:r>
          </w:p>
        </w:tc>
        <w:tc>
          <w:tcPr/>
          <w:p>
            <w:pPr>
              <w:pStyle w:val="Compact"/>
              <w:jc w:val="left"/>
            </w:pPr>
            <w:r>
              <w:t xml:space="preserve">Amyloplast statolith sedimentation; MSL/MCA ion channels; PIN polarization (Tier 1)</w:t>
            </w:r>
          </w:p>
        </w:tc>
        <w:tc>
          <w:tcPr/>
          <w:p>
            <w:pPr>
              <w:pStyle w:val="Compact"/>
              <w:jc w:val="left"/>
            </w:pPr>
            <w:r>
              <w:t xml:space="preserve">Continuous (24–120 h post-radicle emergence)</w:t>
            </w:r>
          </w:p>
        </w:tc>
        <w:tc>
          <w:tcPr/>
          <w:p>
            <w:pPr>
              <w:pStyle w:val="Compact"/>
              <w:jc w:val="left"/>
            </w:pPr>
            <w:r>
              <w:rPr>
                <w:b/>
                <w:bCs/>
              </w:rPr>
              <w:t xml:space="preserve">Medium</w:t>
            </w:r>
            <w:r>
              <w:t xml:space="preserve"> </w:t>
            </w:r>
            <w:r>
              <w:t xml:space="preserve">(Onboard 1g rotor centrifuge adds mass/power; passive logging high)</w:t>
            </w:r>
          </w:p>
        </w:tc>
        <w:tc>
          <w:tcPr/>
          <w:p>
            <w:pPr>
              <w:pStyle w:val="Compact"/>
              <w:jc w:val="left"/>
            </w:pPr>
            <w:r>
              <w:t xml:space="preserve">Normal germination capacity; loss of gravitropic setpoint; root waving &amp; skewing</w:t>
            </w:r>
          </w:p>
        </w:tc>
        <w:tc>
          <w:tcPr/>
          <w:p>
            <w:pPr>
              <w:pStyle w:val="Compact"/>
              <w:jc w:val="left"/>
            </w:pPr>
            <w:r>
              <w:t xml:space="preserve">Statolith displacement; re-localized PIN2/PIN3; apoplastic ROS (</w:t>
            </w:r>
            <w:r>
              <w:rPr>
                <w:i/>
                <w:iCs/>
              </w:rPr>
              <w:t xml:space="preserve">RBOHD/F</w:t>
            </w:r>
            <w:r>
              <w:t xml:space="preserve">)</w:t>
            </w:r>
          </w:p>
        </w:tc>
        <w:tc>
          <w:tcPr/>
          <w:p>
            <w:pPr>
              <w:pStyle w:val="Compact"/>
              <w:jc w:val="left"/>
            </w:pPr>
            <w:r>
              <w:t xml:space="preserve">Structural substrate guiderails; directed aeration and fluidic wicking</w:t>
            </w:r>
          </w:p>
        </w:tc>
        <w:tc>
          <w:tcPr/>
          <w:p>
            <w:pPr>
              <w:pStyle w:val="Compact"/>
              <w:jc w:val="left"/>
            </w:pPr>
            <w:r>
              <w:t xml:space="preserve">Onboard 1g centrifuge control rotor; completely insensitive to magnetic field manipulation</w:t>
            </w:r>
          </w:p>
        </w:tc>
      </w:tr>
      <w:tr>
        <w:tc>
          <w:tcPr/>
          <w:p>
            <w:pPr>
              <w:pStyle w:val="Compact"/>
              <w:jc w:val="left"/>
            </w:pPr>
            <w:r>
              <w:rPr>
                <w:b/>
                <w:bCs/>
              </w:rPr>
              <w:t xml:space="preserve">Deep-Space Radiation (GCR / SPE)</w:t>
            </w:r>
          </w:p>
        </w:tc>
        <w:tc>
          <w:tcPr/>
          <w:p>
            <w:pPr>
              <w:pStyle w:val="Compact"/>
              <w:jc w:val="left"/>
            </w:pPr>
            <w:r>
              <w:t xml:space="preserve">Direct DNA ionization; water radiolysis</w:t>
            </w:r>
            <w:r>
              <w:t xml:space="preserve"> </w:t>
            </w:r>
            <m:oMath>
              <m:sSup>
                <m:e>
                  <m:r>
                    <m:rPr>
                      <m:nor/>
                      <m:sty m:val="p"/>
                    </m:rPr>
                    <m:t>OH</m:t>
                  </m:r>
                </m:e>
                <m:sup>
                  <m:r>
                    <m:rPr>
                      <m:sty m:val="p"/>
                    </m:rPr>
                    <m:t>•</m:t>
                  </m:r>
                </m:sup>
              </m:sSup>
            </m:oMath>
            <w:r>
              <w:t xml:space="preserve">;</w:t>
            </w:r>
            <w:r>
              <w:t xml:space="preserve"> </w:t>
            </w:r>
            <m:oMath>
              <m:r>
                <m:rPr>
                  <m:sty m:val="p"/>
                </m:rPr>
                <m:t>[</m:t>
              </m:r>
              <m:r>
                <m:t>4</m:t>
              </m:r>
              <m:r>
                <m:rPr>
                  <m:nor/>
                  <m:sty m:val="p"/>
                </m:rPr>
                <m:t>Fe</m:t>
              </m:r>
              <m:r>
                <m:rPr>
                  <m:sty m:val="p"/>
                </m:rPr>
                <m:t>−</m:t>
              </m:r>
              <m:r>
                <m:t>4</m:t>
              </m:r>
              <m:r>
                <m:rPr>
                  <m:nor/>
                  <m:sty m:val="p"/>
                </m:rPr>
                <m:t>S</m:t>
              </m:r>
              <m:r>
                <m:rPr>
                  <m:sty m:val="p"/>
                </m:rPr>
                <m:t>]</m:t>
              </m:r>
            </m:oMath>
            <w:r>
              <w:t xml:space="preserve"> </w:t>
            </w:r>
            <w:r>
              <w:t xml:space="preserve">cluster oxidation (Tier 1)</w:t>
            </w:r>
          </w:p>
        </w:tc>
        <w:tc>
          <w:tcPr/>
          <w:p>
            <w:pPr>
              <w:pStyle w:val="Compact"/>
              <w:jc w:val="left"/>
            </w:pPr>
            <w:r>
              <w:t xml:space="preserve">Chronic GCR (negligible in 5 d) vs acute SPE event (</w:t>
            </w:r>
            <m:oMath>
              <m:r>
                <m:rPr>
                  <m:sty m:val="p"/>
                </m:rPr>
                <m:t>&gt;</m:t>
              </m:r>
              <m:r>
                <m:t>0.5</m:t>
              </m:r>
              <m:r>
                <m:rPr>
                  <m:nor/>
                  <m:sty m:val="p"/>
                </m:rPr>
                <m:t> Gy</m:t>
              </m:r>
            </m:oMath>
            <w:r>
              <w:t xml:space="preserve">)</w:t>
            </w:r>
          </w:p>
        </w:tc>
        <w:tc>
          <w:tcPr/>
          <w:p>
            <w:pPr>
              <w:pStyle w:val="Compact"/>
              <w:jc w:val="left"/>
            </w:pPr>
            <w:r>
              <w:rPr>
                <w:b/>
                <w:bCs/>
              </w:rPr>
              <w:t xml:space="preserve">High</w:t>
            </w:r>
            <w:r>
              <w:t xml:space="preserve"> </w:t>
            </w:r>
            <w:r>
              <w:t xml:space="preserve">(Compact active silicon dosimeter / passive TLD packets,</w:t>
            </w:r>
            <w:r>
              <w:t xml:space="preserve"> </w:t>
            </w:r>
            <m:oMath>
              <m:r>
                <m:rPr>
                  <m:sty m:val="p"/>
                </m:rPr>
                <m:t>&lt;</m:t>
              </m:r>
              <m:r>
                <m:t>0.5</m:t>
              </m:r>
              <m:r>
                <m:rPr>
                  <m:nor/>
                  <m:sty m:val="p"/>
                </m:rPr>
                <m:t> W</m:t>
              </m:r>
            </m:oMath>
            <w:r>
              <w:t xml:space="preserve">)</w:t>
            </w:r>
          </w:p>
        </w:tc>
        <w:tc>
          <w:tcPr/>
          <w:p>
            <w:pPr>
              <w:pStyle w:val="Compact"/>
              <w:jc w:val="left"/>
            </w:pPr>
            <w:r>
              <w:t xml:space="preserve">Normal emergence under GCR (</w:t>
            </w:r>
            <m:oMath>
              <m:r>
                <m:rPr>
                  <m:sty m:val="p"/>
                </m:rPr>
                <m:t>&lt;</m:t>
              </m:r>
              <m:r>
                <m:t>1.5</m:t>
              </m:r>
              <m:r>
                <m:rPr>
                  <m:nor/>
                  <m:sty m:val="p"/>
                </m:rPr>
                <m:t> mGy</m:t>
              </m:r>
            </m:oMath>
            <w:r>
              <w:t xml:space="preserve">); severe cell arrest &amp; stunting during SPE (</w:t>
            </w:r>
            <m:oMath>
              <m:r>
                <m:rPr>
                  <m:sty m:val="p"/>
                </m:rPr>
                <m:t>&gt;</m:t>
              </m:r>
              <m:r>
                <m:t>0.5</m:t>
              </m:r>
              <m:r>
                <m:rPr>
                  <m:nor/>
                  <m:sty m:val="p"/>
                </m:rPr>
                <m:t> Gy</m:t>
              </m:r>
            </m:oMath>
            <w:r>
              <w:t xml:space="preserve">)</w:t>
            </w:r>
          </w:p>
        </w:tc>
        <w:tc>
          <w:tcPr/>
          <w:p>
            <w:pPr>
              <w:pStyle w:val="Compact"/>
              <w:jc w:val="left"/>
            </w:pPr>
            <w:r>
              <w:t xml:space="preserve">Phosphorylated</w:t>
            </w:r>
            <w:r>
              <w:t xml:space="preserve"> </w:t>
            </w:r>
            <m:oMath>
              <m:r>
                <m:t>γ</m:t>
              </m:r>
            </m:oMath>
            <w:r>
              <w:t xml:space="preserve">-H2AX foci; ATM/ATR activation;</w:t>
            </w:r>
            <w:r>
              <w:t xml:space="preserve"> </w:t>
            </w:r>
            <w:r>
              <w:rPr>
                <w:i/>
                <w:iCs/>
              </w:rPr>
              <w:t xml:space="preserve">PARP1</w:t>
            </w:r>
            <w:r>
              <w:t xml:space="preserve">,</w:t>
            </w:r>
            <w:r>
              <w:t xml:space="preserve"> </w:t>
            </w:r>
            <w:r>
              <w:rPr>
                <w:i/>
                <w:iCs/>
              </w:rPr>
              <w:t xml:space="preserve">RAD51</w:t>
            </w:r>
            <w:r>
              <w:t xml:space="preserve"> </w:t>
            </w:r>
            <w:r>
              <w:t xml:space="preserve">repair</w:t>
            </w:r>
          </w:p>
        </w:tc>
        <w:tc>
          <w:tcPr/>
          <w:p>
            <w:pPr>
              <w:pStyle w:val="Compact"/>
              <w:jc w:val="left"/>
            </w:pPr>
            <w:r>
              <w:t xml:space="preserve">Polyethylene hydrogen-rich shielding; antioxidant/polyphenol soak</w:t>
            </w:r>
          </w:p>
        </w:tc>
        <w:tc>
          <w:tcPr/>
          <w:p>
            <w:pPr>
              <w:pStyle w:val="Compact"/>
              <w:jc w:val="left"/>
            </w:pPr>
            <w:r>
              <w:t xml:space="preserve">Correlates strictly with dosimeter dose rate; independent of B-field and 1g centrifuge</w:t>
            </w:r>
          </w:p>
        </w:tc>
      </w:tr>
    </w:tbl>
    <w:p>
      <w:r>
        <w:pict>
          <v:rect style="width:0;height:1.5pt" o:hralign="center" o:hrstd="t" o:hr="t"/>
        </w:pict>
      </w:r>
    </w:p>
    <w:bookmarkEnd w:id="51"/>
    <w:bookmarkEnd w:id="52"/>
    <w:bookmarkStart w:id="53" w:name="Xbea3edd5a7aeb15038300f903f189dad42dcce3"/>
    <w:p>
      <w:pPr>
        <w:pStyle w:val="Heading2"/>
      </w:pPr>
      <w:r>
        <w:t xml:space="preserve">7. Conclusions &amp; Forward Look for Sustained Lunar Agriculture</w:t>
      </w:r>
    </w:p>
    <w:p>
      <w:pPr>
        <w:pStyle w:val="FirstParagraph"/>
      </w:pPr>
      <w:r>
        <w:t xml:space="preserve">As humanity prepares for sustained surface operations under the Artemis program and looks forward to permanent lunar bases, space agricultural engineering must mature beyond treating gravity and radiation as the sole planetary variables.</w:t>
      </w:r>
    </w:p>
    <w:p>
      <w:pPr>
        <w:pStyle w:val="BodyText"/>
      </w:pPr>
      <w:r>
        <w:t xml:space="preserve">This review synthesizes the current biophysical and physiological state of the art around</w:t>
      </w:r>
      <w:r>
        <w:t xml:space="preserve"> </w:t>
      </w:r>
      <w:r>
        <w:rPr>
          <w:b/>
          <w:bCs/>
        </w:rPr>
        <w:t xml:space="preserve">five fundamental core concepts</w:t>
      </w:r>
      <w:r>
        <w:t xml:space="preserve">:</w:t>
      </w:r>
      <w:r>
        <w:t xml:space="preserve"> </w:t>
      </w:r>
      <w:r>
        <w:t xml:space="preserve">1.</w:t>
      </w:r>
      <w:r>
        <w:t xml:space="preserve"> </w:t>
      </w:r>
      <w:r>
        <w:rPr>
          <w:b/>
          <w:bCs/>
        </w:rPr>
        <w:t xml:space="preserve">Near-Null Magnetic Fields Physically Exist Across the Lunar Surface:</w:t>
      </w:r>
      <w:r>
        <w:t xml:space="preserve"> </w:t>
      </w:r>
      <w:r>
        <w:t xml:space="preserve">The Moon lacks an active core dynamo. Candidate Artemis South Pole exploration regions (such as Shackleton, Haworth, and Faustini) reside in an extreme magnetic void (</w:t>
      </w:r>
      <m:oMath>
        <m:r>
          <m:t>0.40</m:t>
        </m:r>
        <m:r>
          <m:rPr>
            <m:nor/>
            <m:sty m:val="p"/>
          </m:rPr>
          <m:t>–</m:t>
        </m:r>
        <m:r>
          <m:t>0.82</m:t>
        </m:r>
        <m:r>
          <m:rPr>
            <m:nor/>
            <m:sty m:val="p"/>
          </m:rPr>
          <m:t> nT</m:t>
        </m:r>
      </m:oMath>
      <w:r>
        <w:t xml:space="preserve"> </w:t>
      </w:r>
      <w:r>
        <w:t xml:space="preserve">crustal component at 30 km altitude; bounded</w:t>
      </w:r>
      <w:r>
        <w:t xml:space="preserve"> </w:t>
      </w:r>
      <m:oMath>
        <m:r>
          <m:rPr>
            <m:sty m:val="p"/>
          </m:rPr>
          <m:t>≲</m:t>
        </m:r>
        <m:r>
          <m:t>2</m:t>
        </m:r>
        <m:r>
          <m:rPr>
            <m:nor/>
            <m:sty m:val="p"/>
          </m:rPr>
          <m:t>–</m:t>
        </m:r>
        <m:r>
          <m:t>4</m:t>
        </m:r>
        <m:r>
          <m:rPr>
            <m:nor/>
            <m:sty m:val="p"/>
          </m:rPr>
          <m:t> nT</m:t>
        </m:r>
      </m:oMath>
      <w:r>
        <w:t xml:space="preserve"> </w:t>
      </w:r>
      <w:r>
        <w:t xml:space="preserve">at the surface), more than</w:t>
      </w:r>
      <w:r>
        <w:t xml:space="preserve"> </w:t>
      </w:r>
      <m:oMath>
        <m:r>
          <m:t>30</m:t>
        </m:r>
        <m:r>
          <m:rPr>
            <m:sty m:val="p"/>
          </m:rPr>
          <m:t>,</m:t>
        </m:r>
        <m:r>
          <m:t>000</m:t>
        </m:r>
        <m:r>
          <m:rPr>
            <m:sty m:val="p"/>
          </m:rPr>
          <m:t>×</m:t>
        </m:r>
      </m:oMath>
      <w:r>
        <w:t xml:space="preserve"> </w:t>
      </w:r>
      <w:r>
        <w:t xml:space="preserve">weaker than Earth’s geomagnetic field. Payload architectures must account for vector superposition (</w:t>
      </w:r>
      <m:oMath>
        <m:sSub>
          <m:e>
            <m:r>
              <m:rPr>
                <m:sty m:val="bi"/>
              </m:rPr>
              <m:t>B</m:t>
            </m:r>
          </m:e>
          <m:sub>
            <m:r>
              <m:rPr>
                <m:nor/>
                <m:sty m:val="p"/>
              </m:rPr>
              <m:t>total</m:t>
            </m:r>
          </m:sub>
        </m:sSub>
      </m:oMath>
      <w:r>
        <w:t xml:space="preserve">) to prevent stray lander avionics DC fields (</w:t>
      </w:r>
      <m:oMath>
        <m:r>
          <m:t>50</m:t>
        </m:r>
        <m:r>
          <m:rPr>
            <m:nor/>
            <m:sty m:val="p"/>
          </m:rPr>
          <m:t>–</m:t>
        </m:r>
        <m:r>
          <m:t>500</m:t>
        </m:r>
        <m:r>
          <m:t> </m:t>
        </m:r>
        <m:r>
          <m:t>μ</m:t>
        </m:r>
        <m:r>
          <m:rPr>
            <m:nor/>
            <m:sty m:val="p"/>
          </m:rPr>
          <m:t>T</m:t>
        </m:r>
      </m:oMath>
      <w:r>
        <w:t xml:space="preserve">) from confounding biological exposures.</w:t>
      </w:r>
      <w:r>
        <w:t xml:space="preserve"> </w:t>
      </w:r>
      <w:r>
        <w:t xml:space="preserve">2.</w:t>
      </w:r>
      <w:r>
        <w:t xml:space="preserve"> </w:t>
      </w:r>
      <w:r>
        <w:rPr>
          <w:b/>
          <w:bCs/>
        </w:rPr>
        <w:t xml:space="preserve">Null Magnetic Fields Alter Germination Capacity:</w:t>
      </w:r>
      <w:r>
        <w:t xml:space="preserve"> </w:t>
      </w:r>
      <w:r>
        <w:t xml:space="preserve">Removal of the geomagnetic field impairs seed imbibition kinetics and alters the ABA/GA hormonal balance, reducing total germination capacity and decreasing the absolute number of viable seedlings established per sown area by</w:t>
      </w:r>
      <w:r>
        <w:t xml:space="preserve"> </w:t>
      </w:r>
      <m:oMath>
        <m:r>
          <m:t>10</m:t>
        </m:r>
        <m:r>
          <m:rPr>
            <m:nor/>
            <m:sty m:val="p"/>
          </m:rPr>
          <m:t> to </m:t>
        </m:r>
        <m:r>
          <m:t>30</m:t>
        </m:r>
        <m:r>
          <m:rPr>
            <m:sty m:val="p"/>
          </m:rPr>
          <m:t>%</m:t>
        </m:r>
      </m:oMath>
      <w:r>
        <w:t xml:space="preserve"> </w:t>
      </w:r>
      <w:r>
        <w:t xml:space="preserve">across diverse crop families.</w:t>
      </w:r>
      <w:r>
        <w:t xml:space="preserve"> </w:t>
      </w:r>
      <w:r>
        <w:t xml:space="preserve">3.</w:t>
      </w:r>
      <w:r>
        <w:t xml:space="preserve"> </w:t>
      </w:r>
      <w:r>
        <w:rPr>
          <w:b/>
          <w:bCs/>
        </w:rPr>
        <w:t xml:space="preserve">Null Magnetic Fields Alter Germination Speed and Growth Kinetics:</w:t>
      </w:r>
      <w:r>
        <w:t xml:space="preserve"> </w:t>
      </w:r>
      <w:r>
        <w:t xml:space="preserve">Near-null fields introduce a substantial emergence lag (</w:t>
      </w:r>
      <m:oMath>
        <m:r>
          <m:rPr>
            <m:sty m:val="p"/>
          </m:rPr>
          <m:t>Δ</m:t>
        </m:r>
        <m:sSub>
          <m:e>
            <m:r>
              <m:t>t</m:t>
            </m:r>
          </m:e>
          <m:sub>
            <m:r>
              <m:t>50</m:t>
            </m:r>
          </m:sub>
        </m:sSub>
      </m:oMath>
      <w:r>
        <w:t xml:space="preserve"> </w:t>
      </w:r>
      <w:r>
        <w:t xml:space="preserve">delay of 12–36 h) and retard radicle and hypocotyl elongation rates by dampening cell proliferation and PIN2-mediated auxin transport, leading to an empirical</w:t>
      </w:r>
      <w:r>
        <w:t xml:space="preserve"> </w:t>
      </w:r>
      <m:oMath>
        <m:r>
          <m:rPr>
            <m:sty m:val="p"/>
          </m:rPr>
          <m:t>−</m:t>
        </m:r>
        <m:r>
          <m:t>28.5</m:t>
        </m:r>
        <m:r>
          <m:rPr>
            <m:sty m:val="p"/>
          </m:rPr>
          <m:t>%</m:t>
        </m:r>
      </m:oMath>
      <w:r>
        <w:t xml:space="preserve"> </w:t>
      </w:r>
      <w:r>
        <w:t xml:space="preserve">penalty in early seedling biomass and fresh material yield.</w:t>
      </w:r>
      <w:r>
        <w:t xml:space="preserve"> </w:t>
      </w:r>
      <w:r>
        <w:t xml:space="preserve">4.</w:t>
      </w:r>
      <w:r>
        <w:t xml:space="preserve"> </w:t>
      </w:r>
      <w:r>
        <w:rPr>
          <w:b/>
          <w:bCs/>
        </w:rPr>
        <w:t xml:space="preserve">Null Magnetic Fields Repress Pigment Biosynthetic Networks:</w:t>
      </w:r>
      <w:r>
        <w:t xml:space="preserve"> </w:t>
      </w:r>
      <w:r>
        <w:t xml:space="preserve">Cryptochrome radical-pair spin dynamics are altered in near-null fields (</w:t>
      </w:r>
      <m:oMath>
        <m:sSub>
          <m:e>
            <m:r>
              <m:t>ν</m:t>
            </m:r>
          </m:e>
          <m:sub>
            <m:r>
              <m:t>L</m:t>
            </m:r>
          </m:sub>
        </m:sSub>
        <m:r>
          <m:rPr>
            <m:sty m:val="p"/>
          </m:rPr>
          <m:t>≈</m:t>
        </m:r>
        <m:r>
          <m:t>28</m:t>
        </m:r>
        <m:r>
          <m:rPr>
            <m:nor/>
            <m:sty m:val="p"/>
          </m:rPr>
          <m:t> Hz</m:t>
        </m:r>
      </m:oMath>
      <w:r>
        <w:t xml:space="preserve">, decoupling Zeeman mixing by</w:t>
      </w:r>
      <w:r>
        <w:t xml:space="preserve"> </w:t>
      </w:r>
      <m:oMath>
        <m:r>
          <m:rPr>
            <m:sty m:val="p"/>
          </m:rPr>
          <m:t>&gt;</m:t>
        </m:r>
        <m:r>
          <m:t>4</m:t>
        </m:r>
      </m:oMath>
      <w:r>
        <w:t xml:space="preserve"> </w:t>
      </w:r>
      <w:r>
        <w:t xml:space="preserve">orders of magnitude), attenuating HY5 stabilization and downregulating rate-limiting enzymes of chlorophyll (</w:t>
      </w:r>
      <w:r>
        <w:rPr>
          <w:i/>
          <w:iCs/>
        </w:rPr>
        <w:t xml:space="preserve">HEMA1</w:t>
      </w:r>
      <w:r>
        <w:t xml:space="preserve">,</w:t>
      </w:r>
      <w:r>
        <w:t xml:space="preserve"> </w:t>
      </w:r>
      <w:r>
        <w:rPr>
          <w:i/>
          <w:iCs/>
        </w:rPr>
        <w:t xml:space="preserve">CHLH</w:t>
      </w:r>
      <w:r>
        <w:t xml:space="preserve">,</w:t>
      </w:r>
      <w:r>
        <w:t xml:space="preserve"> </w:t>
      </w:r>
      <w:r>
        <w:rPr>
          <w:i/>
          <w:iCs/>
        </w:rPr>
        <w:t xml:space="preserve">POR</w:t>
      </w:r>
      <w:r>
        <w:t xml:space="preserve">) and anthocyanin (</w:t>
      </w:r>
      <w:r>
        <w:rPr>
          <w:i/>
          <w:iCs/>
        </w:rPr>
        <w:t xml:space="preserve">CHS</w:t>
      </w:r>
      <w:r>
        <w:t xml:space="preserve">,</w:t>
      </w:r>
      <w:r>
        <w:t xml:space="preserve"> </w:t>
      </w:r>
      <w:r>
        <w:rPr>
          <w:i/>
          <w:iCs/>
        </w:rPr>
        <w:t xml:space="preserve">CHI</w:t>
      </w:r>
      <w:r>
        <w:t xml:space="preserve">) biosynthesis, while secondary iron starvation (</w:t>
      </w:r>
      <w:r>
        <w:rPr>
          <w:i/>
          <w:iCs/>
        </w:rPr>
        <w:t xml:space="preserve">FIT</w:t>
      </w:r>
      <w:r>
        <w:t xml:space="preserve">,</w:t>
      </w:r>
      <w:r>
        <w:t xml:space="preserve"> </w:t>
      </w:r>
      <w:r>
        <w:rPr>
          <w:i/>
          <w:iCs/>
        </w:rPr>
        <w:t xml:space="preserve">IRT1</w:t>
      </w:r>
      <w:r>
        <w:t xml:space="preserve">,</w:t>
      </w:r>
      <w:r>
        <w:t xml:space="preserve"> </w:t>
      </w:r>
      <w:r>
        <w:rPr>
          <w:i/>
          <w:iCs/>
        </w:rPr>
        <w:t xml:space="preserve">AtFer1–4</w:t>
      </w:r>
      <w:r>
        <w:t xml:space="preserve">; rescuable via Fe-EDTA) triggers seedling chlorosis during de-etiolation.</w:t>
      </w:r>
      <w:r>
        <w:t xml:space="preserve"> </w:t>
      </w:r>
      <w:r>
        <w:t xml:space="preserve">5.</w:t>
      </w:r>
      <w:r>
        <w:t xml:space="preserve"> </w:t>
      </w:r>
      <w:r>
        <w:rPr>
          <w:b/>
          <w:bCs/>
        </w:rPr>
        <w:t xml:space="preserve">Multi-Stressor Convergence on the</w:t>
      </w:r>
      <w:r>
        <w:rPr>
          <w:b/>
          <w:bCs/>
        </w:rPr>
        <w:t xml:space="preserve"> </w:t>
      </w:r>
      <m:oMath>
        <m:sSub>
          <m:e>
            <m:r>
              <m:rPr>
                <m:nor/>
                <m:sty m:val="p"/>
              </m:rPr>
              <m:t>CO</m:t>
            </m:r>
          </m:e>
          <m:sub>
            <m:r>
              <m:t>2</m:t>
            </m:r>
          </m:sub>
        </m:sSub>
        <m:r>
          <m:rPr>
            <m:sty m:val="p"/>
          </m:rPr>
          <m:t>↔</m:t>
        </m:r>
        <m:sSub>
          <m:e>
            <m:r>
              <m:rPr>
                <m:nor/>
                <m:sty m:val="p"/>
              </m:rPr>
              <m:t>O</m:t>
            </m:r>
          </m:e>
          <m:sub>
            <m:r>
              <m:t>2</m:t>
            </m:r>
          </m:sub>
        </m:sSub>
        <m:r>
          <m:rPr>
            <m:sty m:val="p"/>
          </m:rPr>
          <m:t>↔</m:t>
        </m:r>
        <m:r>
          <m:rPr>
            <m:nor/>
            <m:sty m:val="p"/>
          </m:rPr>
          <m:t>ROS</m:t>
        </m:r>
      </m:oMath>
      <w:r>
        <w:rPr>
          <w:b/>
          <w:bCs/>
        </w:rPr>
        <w:t xml:space="preserve"> </w:t>
      </w:r>
      <w:r>
        <w:rPr>
          <w:b/>
          <w:bCs/>
        </w:rPr>
        <w:t xml:space="preserve">Bioenergetic Axis:</w:t>
      </w:r>
      <w:r>
        <w:t xml:space="preserve"> </w:t>
      </w:r>
      <w:r>
        <w:t xml:space="preserve">Near-null magnetic fields, exploration atmospheres (hypobaric</w:t>
      </w:r>
      <w:r>
        <w:t xml:space="preserve"> </w:t>
      </w:r>
      <m:oMath>
        <m:r>
          <m:t>56.5</m:t>
        </m:r>
        <m:r>
          <m:rPr>
            <m:nor/>
            <m:sty m:val="p"/>
          </m:rPr>
          <m:t> kPa</m:t>
        </m:r>
      </m:oMath>
      <w:r>
        <w:t xml:space="preserve">,</w:t>
      </w:r>
      <w:r>
        <w:t xml:space="preserve"> </w:t>
      </w:r>
      <m:oMath>
        <m:r>
          <m:t>34</m:t>
        </m:r>
        <m:r>
          <m:rPr>
            <m:sty m:val="p"/>
          </m:rPr>
          <m:t>%</m:t>
        </m:r>
        <m:r>
          <m:t> </m:t>
        </m:r>
        <m:sSub>
          <m:e>
            <m:r>
              <m:rPr>
                <m:nor/>
                <m:sty m:val="p"/>
              </m:rPr>
              <m:t>O</m:t>
            </m:r>
          </m:e>
          <m:sub>
            <m:r>
              <m:t>2</m:t>
            </m:r>
          </m:sub>
        </m:sSub>
      </m:oMath>
      <w:r>
        <w:t xml:space="preserve">, elevated</w:t>
      </w:r>
      <w:r>
        <w:t xml:space="preserve"> </w:t>
      </w:r>
      <m:oMath>
        <m:r>
          <m:t>1200</m:t>
        </m:r>
        <m:r>
          <m:rPr>
            <m:nor/>
            <m:sty m:val="p"/>
          </m:rPr>
          <m:t>–</m:t>
        </m:r>
        <m:r>
          <m:t>3000</m:t>
        </m:r>
        <m:sSub>
          <m:e>
            <m:r>
              <m:rPr>
                <m:nor/>
                <m:sty m:val="p"/>
              </m:rPr>
              <m:t> ppm CO</m:t>
            </m:r>
          </m:e>
          <m:sub>
            <m:r>
              <m:t>2</m:t>
            </m:r>
          </m:sub>
        </m:sSub>
      </m:oMath>
      <w:r>
        <w:t xml:space="preserve">), and ionizing radiation converge on the exact same mitochondrial respiratory machinery. In both plants and human astronauts, mitochondrial electron leakage and reactive oxygen generation represent the primary cellular lesion. In plants, induction of the Alternative Oxidase (</w:t>
      </w:r>
      <w:r>
        <w:rPr>
          <w:i/>
          <w:iCs/>
        </w:rPr>
        <w:t xml:space="preserve">AOX1D</w:t>
      </w:r>
      <w:r>
        <w:t xml:space="preserve">) and Catalase (</w:t>
      </w:r>
      <w:r>
        <w:rPr>
          <w:i/>
          <w:iCs/>
        </w:rPr>
        <w:t xml:space="preserve">CAT3</w:t>
      </w:r>
      <w:r>
        <w:t xml:space="preserve">) provides an essential metabolic safety valve that buffers organellar redox stress.</w:t>
      </w:r>
    </w:p>
    <w:p>
      <w:pPr>
        <w:pStyle w:val="BodyText"/>
      </w:pPr>
      <w:r>
        <w:t xml:space="preserve">For the NASA LEAF payload and subsequent lunar greenhouse deployments, immediate engineering priorities can incorporate calibrated 3-axis magnetic sensors at the plant canopy, implement matched-current bifilar sham baselines during ground testing, and validate active causal rescue in terrestrial laboratories. By mastering the hypomagnetic variable during the critical first five days of seedling growth, space life scientists can ensure robust stand establishment, maximize crop biomass yields, and secure the bioregenerative life support systems essential for humanity’s permanent expansion into deep space.</w:t>
      </w:r>
    </w:p>
    <w:p>
      <w:r>
        <w:pict>
          <v:rect style="width:0;height:1.5pt" o:hralign="center" o:hrstd="t" o:hr="t"/>
        </w:pict>
      </w:r>
    </w:p>
    <w:bookmarkEnd w:id="53"/>
    <w:bookmarkStart w:id="58" w:name="declarations"/>
    <w:p>
      <w:pPr>
        <w:pStyle w:val="Heading2"/>
      </w:pPr>
      <w:r>
        <w:t xml:space="preserve">Declarations</w:t>
      </w:r>
    </w:p>
    <w:bookmarkStart w:id="54" w:name="acknowledgements"/>
    <w:p>
      <w:pPr>
        <w:pStyle w:val="Heading3"/>
      </w:pPr>
      <w:r>
        <w:t xml:space="preserve">Acknowledgements</w:t>
      </w:r>
    </w:p>
    <w:p>
      <w:pPr>
        <w:pStyle w:val="FirstParagraph"/>
      </w:pPr>
      <w:r>
        <w:t xml:space="preserve">This work was supported by NASA Biological and Physical Sciences (BPS) awards and internal institutional support from the Department of Agricultural and Biological Engineering and the Department of Earth, Atmospheric, and Planetary Sciences at Purdue University. The authors thank the members of the NASA LEAF payload science team and the NASA GeneLab / Open Science Data Repository (OSDR) Plant AWG for insightful discussions regarding spaceflight multi-omics and environmental sensor integration.</w:t>
      </w:r>
    </w:p>
    <w:bookmarkEnd w:id="54"/>
    <w:bookmarkStart w:id="55" w:name="author-contributions"/>
    <w:p>
      <w:pPr>
        <w:pStyle w:val="Heading3"/>
      </w:pPr>
      <w:r>
        <w:t xml:space="preserve">Author Contributions</w:t>
      </w:r>
    </w:p>
    <w:p>
      <w:pPr>
        <w:pStyle w:val="FirstParagraph"/>
      </w:pPr>
      <w:r>
        <w:rPr>
          <w:b/>
          <w:bCs/>
        </w:rPr>
        <w:t xml:space="preserve">D.M.P.</w:t>
      </w:r>
      <w:r>
        <w:t xml:space="preserve"> </w:t>
      </w:r>
      <w:r>
        <w:t xml:space="preserve">and</w:t>
      </w:r>
      <w:r>
        <w:t xml:space="preserve"> </w:t>
      </w:r>
      <w:r>
        <w:rPr>
          <w:b/>
          <w:bCs/>
        </w:rPr>
        <w:t xml:space="preserve">R.J.B.</w:t>
      </w:r>
      <w:r>
        <w:t xml:space="preserve"> </w:t>
      </w:r>
      <w:r>
        <w:t xml:space="preserve">conceived and designed the review framework.</w:t>
      </w:r>
      <w:r>
        <w:t xml:space="preserve"> </w:t>
      </w:r>
      <w:r>
        <w:rPr>
          <w:b/>
          <w:bCs/>
        </w:rPr>
        <w:t xml:space="preserve">R.J.B.</w:t>
      </w:r>
      <w:r>
        <w:t xml:space="preserve"> </w:t>
      </w:r>
      <w:r>
        <w:t xml:space="preserve">compiled the multi-omics overlap analyses and generated the figures.</w:t>
      </w:r>
      <w:r>
        <w:t xml:space="preserve"> </w:t>
      </w:r>
      <w:r>
        <w:rPr>
          <w:b/>
          <w:bCs/>
        </w:rPr>
        <w:t xml:space="preserve">C.B.</w:t>
      </w:r>
      <w:r>
        <w:t xml:space="preserve"> </w:t>
      </w:r>
      <w:r>
        <w:t xml:space="preserve">and</w:t>
      </w:r>
      <w:r>
        <w:t xml:space="preserve"> </w:t>
      </w:r>
      <w:r>
        <w:rPr>
          <w:b/>
          <w:bCs/>
        </w:rPr>
        <w:t xml:space="preserve">A.O.</w:t>
      </w:r>
      <w:r>
        <w:t xml:space="preserve"> </w:t>
      </w:r>
      <w:r>
        <w:t xml:space="preserve">analyzed the lunar orbital magnetometer datasets and landing site coordinates.</w:t>
      </w:r>
      <w:r>
        <w:t xml:space="preserve"> </w:t>
      </w:r>
      <w:r>
        <w:rPr>
          <w:b/>
          <w:bCs/>
        </w:rPr>
        <w:t xml:space="preserve">A.S.</w:t>
      </w:r>
      <w:r>
        <w:t xml:space="preserve"> </w:t>
      </w:r>
      <w:r>
        <w:t xml:space="preserve">and</w:t>
      </w:r>
      <w:r>
        <w:t xml:space="preserve"> </w:t>
      </w:r>
      <w:r>
        <w:rPr>
          <w:b/>
          <w:bCs/>
        </w:rPr>
        <w:t xml:space="preserve">M.D.</w:t>
      </w:r>
      <w:r>
        <w:t xml:space="preserve"> </w:t>
      </w:r>
      <w:r>
        <w:t xml:space="preserve">contributed to literature synthesis on seed germination kinetics and pigment biosynthesis.</w:t>
      </w:r>
      <w:r>
        <w:t xml:space="preserve"> </w:t>
      </w:r>
      <w:r>
        <w:rPr>
          <w:b/>
          <w:bCs/>
        </w:rPr>
        <w:t xml:space="preserve">R.W.</w:t>
      </w:r>
      <w:r>
        <w:t xml:space="preserve">,</w:t>
      </w:r>
      <w:r>
        <w:t xml:space="preserve"> </w:t>
      </w:r>
      <w:r>
        <w:rPr>
          <w:b/>
          <w:bCs/>
        </w:rPr>
        <w:t xml:space="preserve">G.M.</w:t>
      </w:r>
      <w:r>
        <w:t xml:space="preserve">, and</w:t>
      </w:r>
      <w:r>
        <w:t xml:space="preserve"> </w:t>
      </w:r>
      <w:r>
        <w:rPr>
          <w:b/>
          <w:bCs/>
        </w:rPr>
        <w:t xml:space="preserve">B.D.-A.</w:t>
      </w:r>
      <w:r>
        <w:t xml:space="preserve"> </w:t>
      </w:r>
      <w:r>
        <w:t xml:space="preserve">contributed expertise on space crop production, exploration atmospheres, and photosynthetic bioenergetics.</w:t>
      </w:r>
      <w:r>
        <w:t xml:space="preserve"> </w:t>
      </w:r>
      <w:r>
        <w:rPr>
          <w:b/>
          <w:bCs/>
        </w:rPr>
        <w:t xml:space="preserve">M.P.-L.</w:t>
      </w:r>
      <w:r>
        <w:t xml:space="preserve">,</w:t>
      </w:r>
      <w:r>
        <w:t xml:space="preserve"> </w:t>
      </w:r>
      <w:r>
        <w:rPr>
          <w:b/>
          <w:bCs/>
        </w:rPr>
        <w:t xml:space="preserve">P.F.</w:t>
      </w:r>
      <w:r>
        <w:t xml:space="preserve">,</w:t>
      </w:r>
      <w:r>
        <w:t xml:space="preserve"> </w:t>
      </w:r>
      <w:r>
        <w:rPr>
          <w:b/>
          <w:bCs/>
        </w:rPr>
        <w:t xml:space="preserve">A.D.</w:t>
      </w:r>
      <w:r>
        <w:t xml:space="preserve">, and</w:t>
      </w:r>
      <w:r>
        <w:t xml:space="preserve"> </w:t>
      </w:r>
      <w:r>
        <w:rPr>
          <w:b/>
          <w:bCs/>
        </w:rPr>
        <w:t xml:space="preserve">C.C.</w:t>
      </w:r>
      <w:r>
        <w:t xml:space="preserve"> </w:t>
      </w:r>
      <w:r>
        <w:t xml:space="preserve">contributed to payload engineering requirements and causal validation pipelines. All authors contributed to writing, critical revision, and approved the final manuscript.</w:t>
      </w:r>
    </w:p>
    <w:bookmarkEnd w:id="55"/>
    <w:bookmarkStart w:id="56" w:name="competing-interests"/>
    <w:p>
      <w:pPr>
        <w:pStyle w:val="Heading3"/>
      </w:pPr>
      <w:r>
        <w:t xml:space="preserve">Competing Interests</w:t>
      </w:r>
    </w:p>
    <w:p>
      <w:pPr>
        <w:pStyle w:val="FirstParagraph"/>
      </w:pPr>
      <w:r>
        <w:t xml:space="preserve">D.M.P. is a Co-Investigator on the NASA Artemis missions’ LEAF payload; C.C. is affiliated with Space Lab Technologies, LLC. These roles are disclosed with no commercial or financial conflicts of interest. The remaining authors declare no competing interests.</w:t>
      </w:r>
    </w:p>
    <w:bookmarkEnd w:id="56"/>
    <w:bookmarkStart w:id="57" w:name="data-and-code-availability"/>
    <w:p>
      <w:pPr>
        <w:pStyle w:val="Heading3"/>
      </w:pPr>
      <w:r>
        <w:t xml:space="preserve">Data and Code Availability</w:t>
      </w:r>
    </w:p>
    <w:p>
      <w:pPr>
        <w:pStyle w:val="FirstParagraph"/>
      </w:pPr>
      <w:r>
        <w:t xml:space="preserve">All planetary magnetic field datasets analyzed in this manuscript are openly available from the NASA Planetary Data System (PDS,</w:t>
      </w:r>
      <w:r>
        <w:t xml:space="preserve"> </w:t>
      </w:r>
      <w:r>
        <w:rPr>
          <w:rStyle w:val="VerbatimChar"/>
        </w:rPr>
        <w:t xml:space="preserve">LP-L-MAG-4-SUMM-MAPS-V1.0</w:t>
      </w:r>
      <w:r>
        <w:t xml:space="preserve">) and JAXA DARTS archives (</w:t>
      </w:r>
      <w:r>
        <w:rPr>
          <w:rStyle w:val="VerbatimChar"/>
        </w:rPr>
        <w:t xml:space="preserve">LMAG_MAP_V01</w:t>
      </w:r>
      <w:r>
        <w:t xml:space="preserve">). Gene expression datasets are accessible via the NASA Open Science Data Repository (OSDR, studies OSD-782, OSD-8, and OSD-27). All analysis scripts, germination kinetics models, vector deconvolution pipelines, and figure generation code are openly archived under FAIR standards in the project GitHub repository (</w:t>
      </w:r>
      <w:r>
        <w:rPr>
          <w:rStyle w:val="VerbatimChar"/>
        </w:rPr>
        <w:t xml:space="preserve">https://github.com/dr-richard-barker/NMF_review</w:t>
      </w:r>
      <w:r>
        <w:t xml:space="preserve">, release tag</w:t>
      </w:r>
      <w:r>
        <w:t xml:space="preserve"> </w:t>
      </w:r>
      <w:r>
        <w:rPr>
          <w:rStyle w:val="VerbatimChar"/>
        </w:rPr>
        <w:t xml:space="preserve">v1.2.0</w:t>
      </w:r>
      <w:r>
        <w:t xml:space="preserve">) and permanently deposited on Zenodo (DOI:</w:t>
      </w:r>
      <w:r>
        <w:t xml:space="preserve"> </w:t>
      </w:r>
      <w:r>
        <w:rPr>
          <w:rStyle w:val="VerbatimChar"/>
        </w:rPr>
        <w:t xml:space="preserve">10.5281/zenodo.1082026</w:t>
      </w:r>
      <w:r>
        <w:t xml:space="preserve">). The Quantum Biology Atlas pathway model</w:t>
      </w:r>
      <w:r>
        <w:t xml:space="preserve"> </w:t>
      </w:r>
      <w:r>
        <w:rPr>
          <w:rStyle w:val="VerbatimChar"/>
        </w:rPr>
        <w:t xml:space="preserve">QBM-06</w:t>
      </w:r>
      <w:r>
        <w:t xml:space="preserve"> </w:t>
      </w:r>
      <w:r>
        <w:t xml:space="preserve">(version</w:t>
      </w:r>
      <w:r>
        <w:t xml:space="preserve"> </w:t>
      </w:r>
      <w:r>
        <w:rPr>
          <w:rStyle w:val="VerbatimChar"/>
        </w:rPr>
        <w:t xml:space="preserve">v2.4</w:t>
      </w:r>
      <w:r>
        <w:t xml:space="preserve">) is openly accessible at</w:t>
      </w:r>
      <w:r>
        <w:t xml:space="preserve"> </w:t>
      </w:r>
      <w:r>
        <w:rPr>
          <w:rStyle w:val="VerbatimChar"/>
        </w:rPr>
        <w:t xml:space="preserve">https://github.com/dr-richard-barker/quantum-biology-atlas</w:t>
      </w:r>
      <w:r>
        <w:t xml:space="preserve">.</w:t>
      </w:r>
    </w:p>
    <w:p>
      <w:r>
        <w:pict>
          <v:rect style="width:0;height:1.5pt" o:hralign="center" o:hrstd="t" o:hr="t"/>
        </w:pict>
      </w:r>
    </w:p>
    <w:bookmarkEnd w:id="57"/>
    <w:bookmarkEnd w:id="58"/>
    <w:bookmarkStart w:id="59" w:name="references"/>
    <w:p>
      <w:pPr>
        <w:pStyle w:val="Heading2"/>
      </w:pPr>
      <w:r>
        <w:t xml:space="preserve">References</w:t>
      </w:r>
    </w:p>
    <w:p>
      <w:pPr>
        <w:pStyle w:val="Compact"/>
        <w:numPr>
          <w:ilvl w:val="0"/>
          <w:numId w:val="1004"/>
        </w:numPr>
      </w:pPr>
      <w:r>
        <w:t xml:space="preserve">NASA. NASA selects first science instruments for astronauts to deploy on Moon.</w:t>
      </w:r>
      <w:r>
        <w:t xml:space="preserve"> </w:t>
      </w:r>
      <w:r>
        <w:rPr>
          <w:i/>
          <w:iCs/>
        </w:rPr>
        <w:t xml:space="preserve">NASA Press Release 24-046</w:t>
      </w:r>
      <w:r>
        <w:t xml:space="preserve"> </w:t>
      </w:r>
      <w:r>
        <w:t xml:space="preserve">(26 March 2024). https://www.nasa.gov/news-release/nasa-selects-first-science-instruments-for-astronauts-to-deploy-on-moon/</w:t>
      </w:r>
    </w:p>
    <w:p>
      <w:pPr>
        <w:pStyle w:val="Compact"/>
        <w:numPr>
          <w:ilvl w:val="0"/>
          <w:numId w:val="1004"/>
        </w:numPr>
      </w:pPr>
      <w:r>
        <w:t xml:space="preserve">Maffei, M. E., Balestrini, R., Costantino, P. &amp; Lanfranco, L. The physiology of plants in the context of space exploration.</w:t>
      </w:r>
      <w:r>
        <w:t xml:space="preserve"> </w:t>
      </w:r>
      <w:r>
        <w:rPr>
          <w:i/>
          <w:iCs/>
        </w:rPr>
        <w:t xml:space="preserve">Commun. Biol.</w:t>
      </w:r>
      <w:r>
        <w:t xml:space="preserve"> </w:t>
      </w:r>
      <w:r>
        <w:rPr>
          <w:b/>
          <w:bCs/>
        </w:rPr>
        <w:t xml:space="preserve">7</w:t>
      </w:r>
      <w:r>
        <w:t xml:space="preserve">, 1311 (2024). https://doi.org/10.1038/s42003-024-06989-7</w:t>
      </w:r>
    </w:p>
    <w:p>
      <w:pPr>
        <w:pStyle w:val="Compact"/>
        <w:numPr>
          <w:ilvl w:val="0"/>
          <w:numId w:val="1004"/>
        </w:numPr>
      </w:pPr>
      <w:r>
        <w:t xml:space="preserve">Fountain, L. L. et al. Expanding frontiers: harnessing plant biology for space exploration and planetary sustainability.</w:t>
      </w:r>
      <w:r>
        <w:t xml:space="preserve"> </w:t>
      </w:r>
      <w:r>
        <w:rPr>
          <w:i/>
          <w:iCs/>
        </w:rPr>
        <w:t xml:space="preserve">New Phytol.</w:t>
      </w:r>
      <w:r>
        <w:t xml:space="preserve"> </w:t>
      </w:r>
      <w:r>
        <w:rPr>
          <w:b/>
          <w:bCs/>
        </w:rPr>
        <w:t xml:space="preserve">249</w:t>
      </w:r>
      <w:r>
        <w:t xml:space="preserve">, 656–669 (2026). https://doi.org/10.1111/nph.70662</w:t>
      </w:r>
    </w:p>
    <w:p>
      <w:pPr>
        <w:pStyle w:val="Compact"/>
        <w:numPr>
          <w:ilvl w:val="0"/>
          <w:numId w:val="1004"/>
        </w:numPr>
      </w:pPr>
      <w:r>
        <w:t xml:space="preserve">Wheeler, R. M. Agriculture for space: People and places paving the way.</w:t>
      </w:r>
      <w:r>
        <w:t xml:space="preserve"> </w:t>
      </w:r>
      <w:r>
        <w:rPr>
          <w:i/>
          <w:iCs/>
        </w:rPr>
        <w:t xml:space="preserve">Open Agric.</w:t>
      </w:r>
      <w:r>
        <w:t xml:space="preserve"> </w:t>
      </w:r>
      <w:r>
        <w:rPr>
          <w:b/>
          <w:bCs/>
        </w:rPr>
        <w:t xml:space="preserve">2</w:t>
      </w:r>
      <w:r>
        <w:t xml:space="preserve">, 14–32 (2017). https://doi.org/10.1515/opag-2017-0002</w:t>
      </w:r>
    </w:p>
    <w:p>
      <w:pPr>
        <w:pStyle w:val="Compact"/>
        <w:numPr>
          <w:ilvl w:val="0"/>
          <w:numId w:val="1004"/>
        </w:numPr>
      </w:pPr>
      <w:r>
        <w:t xml:space="preserve">Massa, G. D. et al. Selection of leafy green vegetable crops for a space mission.</w:t>
      </w:r>
      <w:r>
        <w:t xml:space="preserve"> </w:t>
      </w:r>
      <w:r>
        <w:rPr>
          <w:i/>
          <w:iCs/>
        </w:rPr>
        <w:t xml:space="preserve">Gravit. Space Res.</w:t>
      </w:r>
      <w:r>
        <w:t xml:space="preserve"> </w:t>
      </w:r>
      <w:r>
        <w:rPr>
          <w:b/>
          <w:bCs/>
        </w:rPr>
        <w:t xml:space="preserve">3</w:t>
      </w:r>
      <w:r>
        <w:t xml:space="preserve">, 32–40 (2015).</w:t>
      </w:r>
    </w:p>
    <w:p>
      <w:pPr>
        <w:pStyle w:val="Compact"/>
        <w:numPr>
          <w:ilvl w:val="0"/>
          <w:numId w:val="1004"/>
        </w:numPr>
      </w:pPr>
      <w:r>
        <w:t xml:space="preserve">Space Lab Tech. Lunar Effects on Agricultural Flora (LEAF) selected for Artemis missions surface deployment.</w:t>
      </w:r>
      <w:r>
        <w:t xml:space="preserve"> </w:t>
      </w:r>
      <w:r>
        <w:rPr>
          <w:i/>
          <w:iCs/>
        </w:rPr>
        <w:t xml:space="preserve">Space Lab Technologies News</w:t>
      </w:r>
      <w:r>
        <w:t xml:space="preserve"> </w:t>
      </w:r>
      <w:r>
        <w:t xml:space="preserve">(April 2024).</w:t>
      </w:r>
    </w:p>
    <w:p>
      <w:pPr>
        <w:pStyle w:val="Compact"/>
        <w:numPr>
          <w:ilvl w:val="0"/>
          <w:numId w:val="1004"/>
        </w:numPr>
      </w:pPr>
      <w:r>
        <w:t xml:space="preserve">Paul, A.-L., Wheeler, R. M., Levine, H. G. &amp; Ferl, R. J. Fundamental plant biology in spaceflight.</w:t>
      </w:r>
      <w:r>
        <w:t xml:space="preserve"> </w:t>
      </w:r>
      <w:r>
        <w:rPr>
          <w:i/>
          <w:iCs/>
        </w:rPr>
        <w:t xml:space="preserve">Adv. Space Res.</w:t>
      </w:r>
      <w:r>
        <w:t xml:space="preserve"> </w:t>
      </w:r>
      <w:r>
        <w:rPr>
          <w:b/>
          <w:bCs/>
        </w:rPr>
        <w:t xml:space="preserve">51</w:t>
      </w:r>
      <w:r>
        <w:t xml:space="preserve">, 501–510 (2013). https://doi.org/10.1016/j.asr.2012.09.038</w:t>
      </w:r>
    </w:p>
    <w:p>
      <w:pPr>
        <w:pStyle w:val="Compact"/>
        <w:numPr>
          <w:ilvl w:val="0"/>
          <w:numId w:val="1004"/>
        </w:numPr>
      </w:pPr>
      <w:r>
        <w:t xml:space="preserve">Norcross, C. J. et al. Exploration Atmosphere: NASA’s plan for reduced pressure and elevated oxygen for future human space missions.</w:t>
      </w:r>
      <w:r>
        <w:t xml:space="preserve"> </w:t>
      </w:r>
      <w:r>
        <w:rPr>
          <w:i/>
          <w:iCs/>
        </w:rPr>
        <w:t xml:space="preserve">48th International Conference on Environmental Systems</w:t>
      </w:r>
      <w:r>
        <w:t xml:space="preserve">, ICES-2018-199 (2018).</w:t>
      </w:r>
    </w:p>
    <w:p>
      <w:pPr>
        <w:pStyle w:val="Compact"/>
        <w:numPr>
          <w:ilvl w:val="0"/>
          <w:numId w:val="1004"/>
        </w:numPr>
      </w:pPr>
      <w:r>
        <w:t xml:space="preserve">Ferl, R. J. &amp; Paul, A.-L. The genome of</w:t>
      </w:r>
      <w:r>
        <w:t xml:space="preserve"> </w:t>
      </w:r>
      <w:r>
        <w:rPr>
          <w:i/>
          <w:iCs/>
        </w:rPr>
        <w:t xml:space="preserve">Arabidopsis thaliana</w:t>
      </w:r>
      <w:r>
        <w:t xml:space="preserve"> </w:t>
      </w:r>
      <w:r>
        <w:t xml:space="preserve">in spaceflight.</w:t>
      </w:r>
      <w:r>
        <w:t xml:space="preserve"> </w:t>
      </w:r>
      <w:r>
        <w:rPr>
          <w:i/>
          <w:iCs/>
        </w:rPr>
        <w:t xml:space="preserve">Genome Biol.</w:t>
      </w:r>
      <w:r>
        <w:t xml:space="preserve"> </w:t>
      </w:r>
      <w:r>
        <w:rPr>
          <w:b/>
          <w:bCs/>
        </w:rPr>
        <w:t xml:space="preserve">17</w:t>
      </w:r>
      <w:r>
        <w:t xml:space="preserve">, 155 (2016). https://doi.org/10.1186/s13059-016-1011-3</w:t>
      </w:r>
    </w:p>
    <w:p>
      <w:pPr>
        <w:pStyle w:val="Compact"/>
        <w:numPr>
          <w:ilvl w:val="0"/>
          <w:numId w:val="1004"/>
        </w:numPr>
      </w:pPr>
      <w:r>
        <w:t xml:space="preserve">Sarimov, R. M., Serov, D. A. &amp; Gudkov, S. V. Hypomagnetic conditions and their biological action.</w:t>
      </w:r>
      <w:r>
        <w:t xml:space="preserve"> </w:t>
      </w:r>
      <w:r>
        <w:rPr>
          <w:i/>
          <w:iCs/>
        </w:rPr>
        <w:t xml:space="preserve">Biology</w:t>
      </w:r>
      <w:r>
        <w:t xml:space="preserve"> </w:t>
      </w:r>
      <w:r>
        <w:rPr>
          <w:b/>
          <w:bCs/>
        </w:rPr>
        <w:t xml:space="preserve">12</w:t>
      </w:r>
      <w:r>
        <w:t xml:space="preserve">, 1513 (2023). https://doi.org/10.3390/biology12121513</w:t>
      </w:r>
    </w:p>
    <w:p>
      <w:pPr>
        <w:pStyle w:val="Compact"/>
        <w:numPr>
          <w:ilvl w:val="0"/>
          <w:numId w:val="1004"/>
        </w:numPr>
      </w:pPr>
      <w:r>
        <w:t xml:space="preserve">Porterfield, D. M. &amp; Barker, R. J. Plant responses to near-null magnetic fields: Geomagnetism, bioenergetics, and primary metabolism in</w:t>
      </w:r>
      <w:r>
        <w:t xml:space="preserve"> </w:t>
      </w:r>
      <w:r>
        <w:rPr>
          <w:i/>
          <w:iCs/>
        </w:rPr>
        <w:t xml:space="preserve">Arabidopsis</w:t>
      </w:r>
      <w:r>
        <w:t xml:space="preserve"> </w:t>
      </w:r>
      <w:r>
        <w:t xml:space="preserve">and</w:t>
      </w:r>
      <w:r>
        <w:t xml:space="preserve"> </w:t>
      </w:r>
      <w:r>
        <w:rPr>
          <w:i/>
          <w:iCs/>
        </w:rPr>
        <w:t xml:space="preserve">Brassica</w:t>
      </w:r>
      <w:r>
        <w:t xml:space="preserve">.</w:t>
      </w:r>
      <w:r>
        <w:t xml:space="preserve"> </w:t>
      </w:r>
      <w:r>
        <w:rPr>
          <w:i/>
          <w:iCs/>
        </w:rPr>
        <w:t xml:space="preserve">Perspectives in Space Biology</w:t>
      </w:r>
      <w:r>
        <w:t xml:space="preserve"> </w:t>
      </w:r>
      <w:r>
        <w:t xml:space="preserve">(in press, 2026).</w:t>
      </w:r>
    </w:p>
    <w:p>
      <w:pPr>
        <w:pStyle w:val="Compact"/>
        <w:numPr>
          <w:ilvl w:val="0"/>
          <w:numId w:val="1004"/>
        </w:numPr>
      </w:pPr>
      <w:r>
        <w:t xml:space="preserve">Maffei, M. E. Magnetic field effects on plant growth, development, and evolution.</w:t>
      </w:r>
      <w:r>
        <w:t xml:space="preserve"> </w:t>
      </w:r>
      <w:r>
        <w:rPr>
          <w:i/>
          <w:iCs/>
        </w:rPr>
        <w:t xml:space="preserve">Front. Plant Sci.</w:t>
      </w:r>
      <w:r>
        <w:t xml:space="preserve"> </w:t>
      </w:r>
      <w:r>
        <w:rPr>
          <w:b/>
          <w:bCs/>
        </w:rPr>
        <w:t xml:space="preserve">5</w:t>
      </w:r>
      <w:r>
        <w:t xml:space="preserve">, 445 (2014). https://doi.org/10.3389/fpls.2014.00445</w:t>
      </w:r>
    </w:p>
    <w:p>
      <w:pPr>
        <w:pStyle w:val="Compact"/>
        <w:numPr>
          <w:ilvl w:val="0"/>
          <w:numId w:val="1004"/>
        </w:numPr>
      </w:pPr>
      <w:r>
        <w:t xml:space="preserve">Finlay, C. C. et al. International Geomagnetic Reference Field: the thirteenth generation.</w:t>
      </w:r>
      <w:r>
        <w:t xml:space="preserve"> </w:t>
      </w:r>
      <w:r>
        <w:rPr>
          <w:i/>
          <w:iCs/>
        </w:rPr>
        <w:t xml:space="preserve">Earth Planets Space</w:t>
      </w:r>
      <w:r>
        <w:t xml:space="preserve"> </w:t>
      </w:r>
      <w:r>
        <w:rPr>
          <w:b/>
          <w:bCs/>
        </w:rPr>
        <w:t xml:space="preserve">72</w:t>
      </w:r>
      <w:r>
        <w:t xml:space="preserve">, 156 (2020). https://doi.org/10.1186/s40623-020-01252-9</w:t>
      </w:r>
    </w:p>
    <w:p>
      <w:pPr>
        <w:pStyle w:val="Compact"/>
        <w:numPr>
          <w:ilvl w:val="0"/>
          <w:numId w:val="1004"/>
        </w:numPr>
      </w:pPr>
      <w:r>
        <w:t xml:space="preserve">Halekas, J. S. et al. Solar wind interaction with lunar crustal magnetic anomalies.</w:t>
      </w:r>
      <w:r>
        <w:t xml:space="preserve"> </w:t>
      </w:r>
      <w:r>
        <w:rPr>
          <w:i/>
          <w:iCs/>
        </w:rPr>
        <w:t xml:space="preserve">Planet. Space Sci.</w:t>
      </w:r>
      <w:r>
        <w:t xml:space="preserve"> </w:t>
      </w:r>
      <w:r>
        <w:rPr>
          <w:b/>
          <w:bCs/>
        </w:rPr>
        <w:t xml:space="preserve">56</w:t>
      </w:r>
      <w:r>
        <w:t xml:space="preserve">, 941–946 (2008). https://doi.org/10.1016/j.pss.2008.01.008</w:t>
      </w:r>
    </w:p>
    <w:p>
      <w:pPr>
        <w:pStyle w:val="Compact"/>
        <w:numPr>
          <w:ilvl w:val="0"/>
          <w:numId w:val="1004"/>
        </w:numPr>
      </w:pPr>
      <w:r>
        <w:t xml:space="preserve">Borlina, C. S. et al. Re-evaluating the lunar dynamo: Constraints from Apollo sample paleomagnetism and orbital magnetic mapping.</w:t>
      </w:r>
      <w:r>
        <w:t xml:space="preserve"> </w:t>
      </w:r>
      <w:r>
        <w:rPr>
          <w:i/>
          <w:iCs/>
        </w:rPr>
        <w:t xml:space="preserve">Earth Planet. Sci. Lett.</w:t>
      </w:r>
      <w:r>
        <w:t xml:space="preserve"> </w:t>
      </w:r>
      <w:r>
        <w:rPr>
          <w:b/>
          <w:bCs/>
        </w:rPr>
        <w:t xml:space="preserve">584</w:t>
      </w:r>
      <w:r>
        <w:t xml:space="preserve">, 117446 (2022).</w:t>
      </w:r>
    </w:p>
    <w:p>
      <w:pPr>
        <w:pStyle w:val="Compact"/>
        <w:numPr>
          <w:ilvl w:val="0"/>
          <w:numId w:val="1004"/>
        </w:numPr>
      </w:pPr>
      <w:r>
        <w:t xml:space="preserve">Mitchell, D. L., Halekas, J. S. &amp; Lin, R. P. Global mapping of lunar crustal magnetic fields by Lunar Prospector.</w:t>
      </w:r>
      <w:r>
        <w:t xml:space="preserve"> </w:t>
      </w:r>
      <w:r>
        <w:rPr>
          <w:i/>
          <w:iCs/>
        </w:rPr>
        <w:t xml:space="preserve">Icarus</w:t>
      </w:r>
      <w:r>
        <w:t xml:space="preserve"> </w:t>
      </w:r>
      <w:r>
        <w:rPr>
          <w:b/>
          <w:bCs/>
        </w:rPr>
        <w:t xml:space="preserve">194</w:t>
      </w:r>
      <w:r>
        <w:t xml:space="preserve">, 401–409 (2008). https://doi.org/10.1016/j.icarus.2007.10.027</w:t>
      </w:r>
    </w:p>
    <w:p>
      <w:pPr>
        <w:pStyle w:val="Compact"/>
        <w:numPr>
          <w:ilvl w:val="0"/>
          <w:numId w:val="1004"/>
        </w:numPr>
      </w:pPr>
      <w:r>
        <w:t xml:space="preserve">Tsunakawa, H. et al. Surface vector mapping of magnetic anomalies over the Moon using Kaguya and Lunar Prospector observations.</w:t>
      </w:r>
      <w:r>
        <w:t xml:space="preserve"> </w:t>
      </w:r>
      <w:r>
        <w:rPr>
          <w:i/>
          <w:iCs/>
        </w:rPr>
        <w:t xml:space="preserve">J. Geophys. Res. Planets</w:t>
      </w:r>
      <w:r>
        <w:t xml:space="preserve"> </w:t>
      </w:r>
      <w:r>
        <w:rPr>
          <w:b/>
          <w:bCs/>
        </w:rPr>
        <w:t xml:space="preserve">120</w:t>
      </w:r>
      <w:r>
        <w:t xml:space="preserve">, 1160–1185 (2015). https://doi.org/10.1002/2014JE004785</w:t>
      </w:r>
    </w:p>
    <w:p>
      <w:pPr>
        <w:pStyle w:val="Compact"/>
        <w:numPr>
          <w:ilvl w:val="0"/>
          <w:numId w:val="1004"/>
        </w:numPr>
      </w:pPr>
      <w:r>
        <w:t xml:space="preserve">Hood, L. L. et al. Magnetic anomalies at the lunar South Pole: Implications for Artemis landing sites.</w:t>
      </w:r>
      <w:r>
        <w:t xml:space="preserve"> </w:t>
      </w:r>
      <w:r>
        <w:rPr>
          <w:i/>
          <w:iCs/>
        </w:rPr>
        <w:t xml:space="preserve">J. Geophys. Res. Planets</w:t>
      </w:r>
      <w:r>
        <w:t xml:space="preserve"> </w:t>
      </w:r>
      <w:r>
        <w:rPr>
          <w:b/>
          <w:bCs/>
        </w:rPr>
        <w:t xml:space="preserve">127</w:t>
      </w:r>
      <w:r>
        <w:t xml:space="preserve">, e2022JE007280 (2022).</w:t>
      </w:r>
    </w:p>
    <w:p>
      <w:pPr>
        <w:pStyle w:val="Compact"/>
        <w:numPr>
          <w:ilvl w:val="0"/>
          <w:numId w:val="1004"/>
        </w:numPr>
      </w:pPr>
      <w:r>
        <w:t xml:space="preserve">Hoffmann, A. P. et al. Enhancing magnetic field analysis on the KMAG instrument: applying WAIC-UP for spacecraft interference removal and interpolating data gaps.</w:t>
      </w:r>
      <w:r>
        <w:t xml:space="preserve"> </w:t>
      </w:r>
      <w:r>
        <w:rPr>
          <w:i/>
          <w:iCs/>
        </w:rPr>
        <w:t xml:space="preserve">Earth Space Sci.</w:t>
      </w:r>
      <w:r>
        <w:t xml:space="preserve"> </w:t>
      </w:r>
      <w:r>
        <w:rPr>
          <w:b/>
          <w:bCs/>
        </w:rPr>
        <w:t xml:space="preserve">12</w:t>
      </w:r>
      <w:r>
        <w:t xml:space="preserve">, e2025EA004427 (2025). https://doi.org/10.1029/2025EA004427</w:t>
      </w:r>
    </w:p>
    <w:p>
      <w:pPr>
        <w:pStyle w:val="Compact"/>
        <w:numPr>
          <w:ilvl w:val="0"/>
          <w:numId w:val="1004"/>
        </w:numPr>
      </w:pPr>
      <w:r>
        <w:t xml:space="preserve">Binhi, V. N. &amp; Prato, F. S. Biological effects of the hypomagnetic field: an analytical review of experiments and theories.</w:t>
      </w:r>
      <w:r>
        <w:t xml:space="preserve"> </w:t>
      </w:r>
      <w:r>
        <w:rPr>
          <w:i/>
          <w:iCs/>
        </w:rPr>
        <w:t xml:space="preserve">PLoS ONE</w:t>
      </w:r>
      <w:r>
        <w:t xml:space="preserve"> </w:t>
      </w:r>
      <w:r>
        <w:rPr>
          <w:b/>
          <w:bCs/>
        </w:rPr>
        <w:t xml:space="preserve">12</w:t>
      </w:r>
      <w:r>
        <w:t xml:space="preserve">, e0179340 (2017). https://doi.org/10.1371/journal.pone.0179340</w:t>
      </w:r>
    </w:p>
    <w:p>
      <w:pPr>
        <w:pStyle w:val="Compact"/>
        <w:numPr>
          <w:ilvl w:val="0"/>
          <w:numId w:val="1004"/>
        </w:numPr>
      </w:pPr>
      <w:r>
        <w:t xml:space="preserve">Zhang, Z. et al. Biological effects of hypomagnetic field: ground-based data for space exploration.</w:t>
      </w:r>
      <w:r>
        <w:t xml:space="preserve"> </w:t>
      </w:r>
      <w:r>
        <w:rPr>
          <w:i/>
          <w:iCs/>
        </w:rPr>
        <w:t xml:space="preserve">Bioelectromagnetics</w:t>
      </w:r>
      <w:r>
        <w:t xml:space="preserve"> </w:t>
      </w:r>
      <w:r>
        <w:rPr>
          <w:b/>
          <w:bCs/>
        </w:rPr>
        <w:t xml:space="preserve">42</w:t>
      </w:r>
      <w:r>
        <w:t xml:space="preserve">, 516–531 (2021). https://doi.org/10.1002/bem.22360</w:t>
      </w:r>
    </w:p>
    <w:p>
      <w:pPr>
        <w:pStyle w:val="Compact"/>
        <w:numPr>
          <w:ilvl w:val="0"/>
          <w:numId w:val="1004"/>
        </w:numPr>
      </w:pPr>
      <w:r>
        <w:t xml:space="preserve">Kyriacou, M. C. et al. Microgreens: Novel fresh and functional food to explore all the way from plate to space.</w:t>
      </w:r>
      <w:r>
        <w:t xml:space="preserve"> </w:t>
      </w:r>
      <w:r>
        <w:rPr>
          <w:i/>
          <w:iCs/>
        </w:rPr>
        <w:t xml:space="preserve">Trends Food Sci. Technol.</w:t>
      </w:r>
      <w:r>
        <w:t xml:space="preserve"> </w:t>
      </w:r>
      <w:r>
        <w:rPr>
          <w:b/>
          <w:bCs/>
        </w:rPr>
        <w:t xml:space="preserve">110</w:t>
      </w:r>
      <w:r>
        <w:t xml:space="preserve">, 377–389 (2021). https://doi.org/10.1016/j.tifs.2021.01.080</w:t>
      </w:r>
    </w:p>
    <w:p>
      <w:pPr>
        <w:pStyle w:val="Compact"/>
        <w:numPr>
          <w:ilvl w:val="0"/>
          <w:numId w:val="1004"/>
        </w:numPr>
      </w:pPr>
      <w:r>
        <w:t xml:space="preserve">Bewley, J. D. Seed germination and dormancy.</w:t>
      </w:r>
      <w:r>
        <w:t xml:space="preserve"> </w:t>
      </w:r>
      <w:r>
        <w:rPr>
          <w:i/>
          <w:iCs/>
        </w:rPr>
        <w:t xml:space="preserve">Plant Cell</w:t>
      </w:r>
      <w:r>
        <w:t xml:space="preserve"> </w:t>
      </w:r>
      <w:r>
        <w:rPr>
          <w:b/>
          <w:bCs/>
        </w:rPr>
        <w:t xml:space="preserve">9</w:t>
      </w:r>
      <w:r>
        <w:t xml:space="preserve">, 1055–1066 (1997). https://doi.org/10.1105/tpc.9.7.1055</w:t>
      </w:r>
    </w:p>
    <w:p>
      <w:pPr>
        <w:pStyle w:val="Compact"/>
        <w:numPr>
          <w:ilvl w:val="0"/>
          <w:numId w:val="1004"/>
        </w:numPr>
      </w:pPr>
      <w:r>
        <w:t xml:space="preserve">Gommers, C. M. &amp; Monte, E. Seedling establishment: A dimmer switch-regulated process between dark and light signaling.</w:t>
      </w:r>
      <w:r>
        <w:t xml:space="preserve"> </w:t>
      </w:r>
      <w:r>
        <w:rPr>
          <w:i/>
          <w:iCs/>
        </w:rPr>
        <w:t xml:space="preserve">Plant Physiol.</w:t>
      </w:r>
      <w:r>
        <w:t xml:space="preserve"> </w:t>
      </w:r>
      <w:r>
        <w:rPr>
          <w:b/>
          <w:bCs/>
        </w:rPr>
        <w:t xml:space="preserve">176</w:t>
      </w:r>
      <w:r>
        <w:t xml:space="preserve">, 1061–1074 (2017). https://doi.org/10.1104/pp.17.01460</w:t>
      </w:r>
    </w:p>
    <w:p>
      <w:pPr>
        <w:pStyle w:val="Compact"/>
        <w:numPr>
          <w:ilvl w:val="0"/>
          <w:numId w:val="1004"/>
        </w:numPr>
      </w:pPr>
      <w:r>
        <w:t xml:space="preserve">Finkelstein, R., Reeves, W., Ariizumi, T. &amp; Steber, C. Molecular aspects of seed dormancy.</w:t>
      </w:r>
      <w:r>
        <w:t xml:space="preserve"> </w:t>
      </w:r>
      <w:r>
        <w:rPr>
          <w:i/>
          <w:iCs/>
        </w:rPr>
        <w:t xml:space="preserve">Annu. Rev. Plant Biol.</w:t>
      </w:r>
      <w:r>
        <w:t xml:space="preserve"> </w:t>
      </w:r>
      <w:r>
        <w:rPr>
          <w:b/>
          <w:bCs/>
        </w:rPr>
        <w:t xml:space="preserve">59</w:t>
      </w:r>
      <w:r>
        <w:t xml:space="preserve">, 387–415 (2008). https://doi.org/10.1146/annurev.arplant.59.032607.092740</w:t>
      </w:r>
    </w:p>
    <w:p>
      <w:pPr>
        <w:pStyle w:val="Compact"/>
        <w:numPr>
          <w:ilvl w:val="0"/>
          <w:numId w:val="1004"/>
        </w:numPr>
      </w:pPr>
      <w:r>
        <w:t xml:space="preserve">Belyavskaya, N. A. Biological effects due to weak magnetic field on plants.</w:t>
      </w:r>
      <w:r>
        <w:t xml:space="preserve"> </w:t>
      </w:r>
      <w:r>
        <w:rPr>
          <w:i/>
          <w:iCs/>
        </w:rPr>
        <w:t xml:space="preserve">Adv. Space Res.</w:t>
      </w:r>
      <w:r>
        <w:t xml:space="preserve"> </w:t>
      </w:r>
      <w:r>
        <w:rPr>
          <w:b/>
          <w:bCs/>
        </w:rPr>
        <w:t xml:space="preserve">34</w:t>
      </w:r>
      <w:r>
        <w:t xml:space="preserve">, 1566–1574 (2004). https://doi.org/10.1016/j.asr.2004.01.021</w:t>
      </w:r>
    </w:p>
    <w:p>
      <w:pPr>
        <w:pStyle w:val="Compact"/>
        <w:numPr>
          <w:ilvl w:val="0"/>
          <w:numId w:val="1004"/>
        </w:numPr>
      </w:pPr>
      <w:r>
        <w:t xml:space="preserve">Novitskii, Y. I., Novitskaya, G. V. &amp; Kocheshkova, T. K. Growth of radish seedlings in a hypomagnetic field.</w:t>
      </w:r>
      <w:r>
        <w:t xml:space="preserve"> </w:t>
      </w:r>
      <w:r>
        <w:rPr>
          <w:i/>
          <w:iCs/>
        </w:rPr>
        <w:t xml:space="preserve">Russ. J. Plant Physiol.</w:t>
      </w:r>
      <w:r>
        <w:t xml:space="preserve"> </w:t>
      </w:r>
      <w:r>
        <w:rPr>
          <w:b/>
          <w:bCs/>
        </w:rPr>
        <w:t xml:space="preserve">61</w:t>
      </w:r>
      <w:r>
        <w:t xml:space="preserve">, 667–676 (2014).</w:t>
      </w:r>
    </w:p>
    <w:p>
      <w:pPr>
        <w:pStyle w:val="Compact"/>
        <w:numPr>
          <w:ilvl w:val="0"/>
          <w:numId w:val="1004"/>
        </w:numPr>
      </w:pPr>
      <w:r>
        <w:t xml:space="preserve">Xu, C., Wei, S. &amp; Lü, Y. Removal of the local geomagnetic field affects reproductive growth in</w:t>
      </w:r>
      <w:r>
        <w:t xml:space="preserve"> </w:t>
      </w:r>
      <w:r>
        <w:rPr>
          <w:i/>
          <w:iCs/>
        </w:rPr>
        <w:t xml:space="preserve">Arabidopsis</w:t>
      </w:r>
      <w:r>
        <w:t xml:space="preserve">.</w:t>
      </w:r>
      <w:r>
        <w:t xml:space="preserve"> </w:t>
      </w:r>
      <w:r>
        <w:rPr>
          <w:i/>
          <w:iCs/>
        </w:rPr>
        <w:t xml:space="preserve">Bioelectromagnetics</w:t>
      </w:r>
      <w:r>
        <w:t xml:space="preserve"> </w:t>
      </w:r>
      <w:r>
        <w:rPr>
          <w:b/>
          <w:bCs/>
        </w:rPr>
        <w:t xml:space="preserve">34</w:t>
      </w:r>
      <w:r>
        <w:t xml:space="preserve">, 437–442 (2013). https://doi.org/10.1002/bem.21788</w:t>
      </w:r>
    </w:p>
    <w:p>
      <w:pPr>
        <w:pStyle w:val="Compact"/>
        <w:numPr>
          <w:ilvl w:val="0"/>
          <w:numId w:val="1004"/>
        </w:numPr>
      </w:pPr>
      <w:r>
        <w:t xml:space="preserve">Negishi, Y. et al. Growth and development of</w:t>
      </w:r>
      <w:r>
        <w:t xml:space="preserve"> </w:t>
      </w:r>
      <w:r>
        <w:rPr>
          <w:i/>
          <w:iCs/>
        </w:rPr>
        <w:t xml:space="preserve">Arabidopsis thaliana</w:t>
      </w:r>
      <w:r>
        <w:t xml:space="preserve"> </w:t>
      </w:r>
      <w:r>
        <w:t xml:space="preserve">under hypomagnetic conditions.</w:t>
      </w:r>
      <w:r>
        <w:t xml:space="preserve"> </w:t>
      </w:r>
      <w:r>
        <w:rPr>
          <w:i/>
          <w:iCs/>
        </w:rPr>
        <w:t xml:space="preserve">Space Util. Res.</w:t>
      </w:r>
      <w:r>
        <w:t xml:space="preserve"> </w:t>
      </w:r>
      <w:r>
        <w:rPr>
          <w:b/>
          <w:bCs/>
        </w:rPr>
        <w:t xml:space="preserve">15</w:t>
      </w:r>
      <w:r>
        <w:t xml:space="preserve">, 14–17 (1999).</w:t>
      </w:r>
    </w:p>
    <w:p>
      <w:pPr>
        <w:pStyle w:val="Compact"/>
        <w:numPr>
          <w:ilvl w:val="0"/>
          <w:numId w:val="1004"/>
        </w:numPr>
      </w:pPr>
      <w:r>
        <w:t xml:space="preserve">Kordyum, E. L. &amp; Guikema, J. A. Plants in space: Changes in the cellular and organellar architecture.</w:t>
      </w:r>
      <w:r>
        <w:t xml:space="preserve"> </w:t>
      </w:r>
      <w:r>
        <w:rPr>
          <w:i/>
          <w:iCs/>
        </w:rPr>
        <w:t xml:space="preserve">Int. J. Astrobiol.</w:t>
      </w:r>
      <w:r>
        <w:t xml:space="preserve"> </w:t>
      </w:r>
      <w:r>
        <w:rPr>
          <w:b/>
          <w:bCs/>
        </w:rPr>
        <w:t xml:space="preserve">19</w:t>
      </w:r>
      <w:r>
        <w:t xml:space="preserve">, 391–406 (2020).</w:t>
      </w:r>
    </w:p>
    <w:p>
      <w:pPr>
        <w:pStyle w:val="Compact"/>
        <w:numPr>
          <w:ilvl w:val="0"/>
          <w:numId w:val="1004"/>
        </w:numPr>
      </w:pPr>
      <w:r>
        <w:t xml:space="preserve">Tang, J., Wu, Z., Sun, Z., Liu, H. &amp; Liu, H. Lunar magnetism impairs wheat seedling photosynthesis: a simulated environment study.</w:t>
      </w:r>
      <w:r>
        <w:t xml:space="preserve"> </w:t>
      </w:r>
      <w:r>
        <w:rPr>
          <w:i/>
          <w:iCs/>
        </w:rPr>
        <w:t xml:space="preserve">Plant Physiol. Biochem.</w:t>
      </w:r>
      <w:r>
        <w:t xml:space="preserve"> </w:t>
      </w:r>
      <w:r>
        <w:rPr>
          <w:b/>
          <w:bCs/>
        </w:rPr>
        <w:t xml:space="preserve">216</w:t>
      </w:r>
      <w:r>
        <w:t xml:space="preserve">, 109156 (2024). https://doi.org/10.1016/j.plaphy.2024.109156</w:t>
      </w:r>
    </w:p>
    <w:p>
      <w:pPr>
        <w:pStyle w:val="Compact"/>
        <w:numPr>
          <w:ilvl w:val="0"/>
          <w:numId w:val="1004"/>
        </w:numPr>
      </w:pPr>
      <w:r>
        <w:t xml:space="preserve">Podleśny, J., Pietruszewski, S. &amp; Podleśna, A. Efficiency of magnetic treatment of broad bean seeds cultivated under drought conditions.</w:t>
      </w:r>
      <w:r>
        <w:t xml:space="preserve"> </w:t>
      </w:r>
      <w:r>
        <w:rPr>
          <w:i/>
          <w:iCs/>
        </w:rPr>
        <w:t xml:space="preserve">Int. Agrophys.</w:t>
      </w:r>
      <w:r>
        <w:t xml:space="preserve"> </w:t>
      </w:r>
      <w:r>
        <w:rPr>
          <w:b/>
          <w:bCs/>
        </w:rPr>
        <w:t xml:space="preserve">19</w:t>
      </w:r>
      <w:r>
        <w:t xml:space="preserve">, 65–71 (2005).</w:t>
      </w:r>
    </w:p>
    <w:p>
      <w:pPr>
        <w:pStyle w:val="Compact"/>
        <w:numPr>
          <w:ilvl w:val="0"/>
          <w:numId w:val="1004"/>
        </w:numPr>
      </w:pPr>
      <w:r>
        <w:t xml:space="preserve">Nonogaki, H., Bassel, G. W. &amp; Bewley, J. D. Germination—still a mystery.</w:t>
      </w:r>
      <w:r>
        <w:t xml:space="preserve"> </w:t>
      </w:r>
      <w:r>
        <w:rPr>
          <w:i/>
          <w:iCs/>
        </w:rPr>
        <w:t xml:space="preserve">Plant Sci.</w:t>
      </w:r>
      <w:r>
        <w:t xml:space="preserve"> </w:t>
      </w:r>
      <w:r>
        <w:rPr>
          <w:b/>
          <w:bCs/>
        </w:rPr>
        <w:t xml:space="preserve">179</w:t>
      </w:r>
      <w:r>
        <w:t xml:space="preserve">, 574–581 (2010). https://doi.org/10.1016/j.plantsci.2010.02.010</w:t>
      </w:r>
    </w:p>
    <w:p>
      <w:pPr>
        <w:pStyle w:val="Compact"/>
        <w:numPr>
          <w:ilvl w:val="0"/>
          <w:numId w:val="1004"/>
        </w:numPr>
      </w:pPr>
      <w:r>
        <w:t xml:space="preserve">Shine, M. B. &amp; Guruprasad, K. N. Impact of pre-sowing magnetic field treatment on seed germination, seedling growth, and enzymatic antioxidant defense system in soybean.</w:t>
      </w:r>
      <w:r>
        <w:t xml:space="preserve"> </w:t>
      </w:r>
      <w:r>
        <w:rPr>
          <w:i/>
          <w:iCs/>
        </w:rPr>
        <w:t xml:space="preserve">Physiol. Mol. Biol. Plants</w:t>
      </w:r>
      <w:r>
        <w:t xml:space="preserve"> </w:t>
      </w:r>
      <w:r>
        <w:rPr>
          <w:b/>
          <w:bCs/>
        </w:rPr>
        <w:t xml:space="preserve">18</w:t>
      </w:r>
      <w:r>
        <w:t xml:space="preserve">, 325–334 (2012).</w:t>
      </w:r>
    </w:p>
    <w:p>
      <w:pPr>
        <w:pStyle w:val="Compact"/>
        <w:numPr>
          <w:ilvl w:val="0"/>
          <w:numId w:val="1004"/>
        </w:numPr>
      </w:pPr>
      <w:r>
        <w:t xml:space="preserve">Xu, C., Yu, Y., Zhang, Y., Li, Y. &amp; Wei, S. Gibberellins are involved in effect of near-null magnetic field on</w:t>
      </w:r>
      <w:r>
        <w:t xml:space="preserve"> </w:t>
      </w:r>
      <w:r>
        <w:rPr>
          <w:i/>
          <w:iCs/>
        </w:rPr>
        <w:t xml:space="preserve">Arabidopsis</w:t>
      </w:r>
      <w:r>
        <w:t xml:space="preserve"> </w:t>
      </w:r>
      <w:r>
        <w:t xml:space="preserve">flowering.</w:t>
      </w:r>
      <w:r>
        <w:t xml:space="preserve"> </w:t>
      </w:r>
      <w:r>
        <w:rPr>
          <w:i/>
          <w:iCs/>
        </w:rPr>
        <w:t xml:space="preserve">Bioelectromagnetics</w:t>
      </w:r>
      <w:r>
        <w:t xml:space="preserve"> </w:t>
      </w:r>
      <w:r>
        <w:rPr>
          <w:b/>
          <w:bCs/>
        </w:rPr>
        <w:t xml:space="preserve">38</w:t>
      </w:r>
      <w:r>
        <w:t xml:space="preserve">, 1–10 (2017). https://doi.org/10.1002/bem.22004</w:t>
      </w:r>
    </w:p>
    <w:p>
      <w:pPr>
        <w:pStyle w:val="Compact"/>
        <w:numPr>
          <w:ilvl w:val="0"/>
          <w:numId w:val="1004"/>
        </w:numPr>
      </w:pPr>
      <w:r>
        <w:t xml:space="preserve">Xu, C., Zhang, Y., Yu, Y., Li, Y. &amp; Wei, S. Suppression of</w:t>
      </w:r>
      <w:r>
        <w:t xml:space="preserve"> </w:t>
      </w:r>
      <w:r>
        <w:rPr>
          <w:i/>
          <w:iCs/>
        </w:rPr>
        <w:t xml:space="preserve">Arabidopsis</w:t>
      </w:r>
      <w:r>
        <w:t xml:space="preserve"> </w:t>
      </w:r>
      <w:r>
        <w:t xml:space="preserve">flowering by near-null magnetic field is mediated by auxin.</w:t>
      </w:r>
      <w:r>
        <w:t xml:space="preserve"> </w:t>
      </w:r>
      <w:r>
        <w:rPr>
          <w:i/>
          <w:iCs/>
        </w:rPr>
        <w:t xml:space="preserve">Bioelectromagnetics</w:t>
      </w:r>
      <w:r>
        <w:t xml:space="preserve"> </w:t>
      </w:r>
      <w:r>
        <w:rPr>
          <w:b/>
          <w:bCs/>
        </w:rPr>
        <w:t xml:space="preserve">39</w:t>
      </w:r>
      <w:r>
        <w:t xml:space="preserve">, 15–24 (2018). https://doi.org/10.1002/bem.22086</w:t>
      </w:r>
    </w:p>
    <w:p>
      <w:pPr>
        <w:pStyle w:val="Compact"/>
        <w:numPr>
          <w:ilvl w:val="0"/>
          <w:numId w:val="1004"/>
        </w:numPr>
      </w:pPr>
      <w:r>
        <w:t xml:space="preserve">Narayana, R. et al. Near-null magnetic field alters root growth and PIN2 polar auxin transporter distribution in</w:t>
      </w:r>
      <w:r>
        <w:t xml:space="preserve"> </w:t>
      </w:r>
      <w:r>
        <w:rPr>
          <w:i/>
          <w:iCs/>
        </w:rPr>
        <w:t xml:space="preserve">Arabidopsis thaliana</w:t>
      </w:r>
      <w:r>
        <w:t xml:space="preserve">.</w:t>
      </w:r>
      <w:r>
        <w:t xml:space="preserve"> </w:t>
      </w:r>
      <w:r>
        <w:rPr>
          <w:i/>
          <w:iCs/>
        </w:rPr>
        <w:t xml:space="preserve">Bioelectromagnetics</w:t>
      </w:r>
      <w:r>
        <w:t xml:space="preserve"> </w:t>
      </w:r>
      <w:r>
        <w:rPr>
          <w:b/>
          <w:bCs/>
        </w:rPr>
        <w:t xml:space="preserve">39</w:t>
      </w:r>
      <w:r>
        <w:t xml:space="preserve">, 361–374 (2018).</w:t>
      </w:r>
    </w:p>
    <w:p>
      <w:pPr>
        <w:pStyle w:val="Compact"/>
        <w:numPr>
          <w:ilvl w:val="0"/>
          <w:numId w:val="1004"/>
        </w:numPr>
      </w:pPr>
      <w:r>
        <w:t xml:space="preserve">Belyavskaya, N. A. Ultrastructure of meristematic cells of pea roots grown in a hypomagnetic field.</w:t>
      </w:r>
      <w:r>
        <w:t xml:space="preserve"> </w:t>
      </w:r>
      <w:r>
        <w:rPr>
          <w:i/>
          <w:iCs/>
        </w:rPr>
        <w:t xml:space="preserve">Biophysics</w:t>
      </w:r>
      <w:r>
        <w:t xml:space="preserve"> </w:t>
      </w:r>
      <w:r>
        <w:rPr>
          <w:b/>
          <w:bCs/>
        </w:rPr>
        <w:t xml:space="preserve">46</w:t>
      </w:r>
      <w:r>
        <w:t xml:space="preserve">, 953–958 (2001).</w:t>
      </w:r>
    </w:p>
    <w:p>
      <w:pPr>
        <w:pStyle w:val="Compact"/>
        <w:numPr>
          <w:ilvl w:val="0"/>
          <w:numId w:val="1004"/>
        </w:numPr>
      </w:pPr>
      <w:r>
        <w:t xml:space="preserve">Fiorillo, A. et al. 14-3-3 proteins and the plasma membrane</w:t>
      </w:r>
      <w:r>
        <w:t xml:space="preserve"> </w:t>
      </w:r>
      <m:oMath>
        <m:sSup>
          <m:e>
            <m:r>
              <m:rPr>
                <m:nor/>
                <m:sty m:val="p"/>
              </m:rPr>
              <m:t>H</m:t>
            </m:r>
          </m:e>
          <m:sup>
            <m:r>
              <m:rPr>
                <m:sty m:val="p"/>
              </m:rPr>
              <m:t>+</m:t>
            </m:r>
          </m:sup>
        </m:sSup>
      </m:oMath>
      <w:r>
        <w:t xml:space="preserve">-ATPase are involved in maize magnetic induction.</w:t>
      </w:r>
      <w:r>
        <w:t xml:space="preserve"> </w:t>
      </w:r>
      <w:r>
        <w:rPr>
          <w:i/>
          <w:iCs/>
        </w:rPr>
        <w:t xml:space="preserve">Plants</w:t>
      </w:r>
      <w:r>
        <w:t xml:space="preserve"> </w:t>
      </w:r>
      <w:r>
        <w:rPr>
          <w:b/>
          <w:bCs/>
        </w:rPr>
        <w:t xml:space="preserve">12</w:t>
      </w:r>
      <w:r>
        <w:t xml:space="preserve">, 2887 (2023). https://doi.org/10.3390/plants12152887</w:t>
      </w:r>
    </w:p>
    <w:p>
      <w:pPr>
        <w:pStyle w:val="Compact"/>
        <w:numPr>
          <w:ilvl w:val="0"/>
          <w:numId w:val="1004"/>
        </w:numPr>
      </w:pPr>
      <w:r>
        <w:t xml:space="preserve">Wheeler, R. M. Carbon dioxide effects on plants: Implications for space exploration.</w:t>
      </w:r>
      <w:r>
        <w:t xml:space="preserve"> </w:t>
      </w:r>
      <w:r>
        <w:rPr>
          <w:i/>
          <w:iCs/>
        </w:rPr>
        <w:t xml:space="preserve">Front. Astron. Space Sci.</w:t>
      </w:r>
      <w:r>
        <w:t xml:space="preserve"> </w:t>
      </w:r>
      <w:r>
        <w:rPr>
          <w:b/>
          <w:bCs/>
        </w:rPr>
        <w:t xml:space="preserve">8</w:t>
      </w:r>
      <w:r>
        <w:t xml:space="preserve">, 780074 (2021). https://doi.org/10.3389/fspas.2021.780074</w:t>
      </w:r>
    </w:p>
    <w:p>
      <w:pPr>
        <w:pStyle w:val="Compact"/>
        <w:numPr>
          <w:ilvl w:val="0"/>
          <w:numId w:val="1004"/>
        </w:numPr>
      </w:pPr>
      <w:r>
        <w:t xml:space="preserve">Douglas, G. L. et al. Nutrition and food systems for exploration missions.</w:t>
      </w:r>
      <w:r>
        <w:t xml:space="preserve"> </w:t>
      </w:r>
      <w:r>
        <w:rPr>
          <w:i/>
          <w:iCs/>
        </w:rPr>
        <w:t xml:space="preserve">NASA Human Research Program Technical Report</w:t>
      </w:r>
      <w:r>
        <w:t xml:space="preserve"> </w:t>
      </w:r>
      <w:r>
        <w:t xml:space="preserve">(2020).</w:t>
      </w:r>
    </w:p>
    <w:p>
      <w:pPr>
        <w:pStyle w:val="Compact"/>
        <w:numPr>
          <w:ilvl w:val="0"/>
          <w:numId w:val="1004"/>
        </w:numPr>
      </w:pPr>
      <w:r>
        <w:t xml:space="preserve">Solymosi, K. &amp; Schoefs, B. Etioplast and etio-chloroplast formation under natural and laboratory conditions.</w:t>
      </w:r>
      <w:r>
        <w:t xml:space="preserve"> </w:t>
      </w:r>
      <w:r>
        <w:rPr>
          <w:i/>
          <w:iCs/>
        </w:rPr>
        <w:t xml:space="preserve">Front. Plant Sci.</w:t>
      </w:r>
      <w:r>
        <w:t xml:space="preserve"> </w:t>
      </w:r>
      <w:r>
        <w:rPr>
          <w:b/>
          <w:bCs/>
        </w:rPr>
        <w:t xml:space="preserve">9</w:t>
      </w:r>
      <w:r>
        <w:t xml:space="preserve">, 1709 (2018). https://doi.org/10.3389/fpls.2018.01709</w:t>
      </w:r>
    </w:p>
    <w:p>
      <w:pPr>
        <w:pStyle w:val="Compact"/>
        <w:numPr>
          <w:ilvl w:val="0"/>
          <w:numId w:val="1004"/>
        </w:numPr>
      </w:pPr>
      <w:r>
        <w:t xml:space="preserve">Tanaka, R. &amp; Tanaka, A. Tetrapyrrole biosynthesis in higher plants.</w:t>
      </w:r>
      <w:r>
        <w:t xml:space="preserve"> </w:t>
      </w:r>
      <w:r>
        <w:rPr>
          <w:i/>
          <w:iCs/>
        </w:rPr>
        <w:t xml:space="preserve">Annu. Rev. Plant Biol.</w:t>
      </w:r>
      <w:r>
        <w:t xml:space="preserve"> </w:t>
      </w:r>
      <w:r>
        <w:rPr>
          <w:b/>
          <w:bCs/>
        </w:rPr>
        <w:t xml:space="preserve">58</w:t>
      </w:r>
      <w:r>
        <w:t xml:space="preserve">, 321–346 (2007). https://doi.org/10.1146/annurev.arplant.57.032905.105448</w:t>
      </w:r>
    </w:p>
    <w:p>
      <w:pPr>
        <w:pStyle w:val="Compact"/>
        <w:numPr>
          <w:ilvl w:val="0"/>
          <w:numId w:val="1004"/>
        </w:numPr>
      </w:pPr>
      <w:r>
        <w:t xml:space="preserve">Parmagnani, A. S. et al. The geomagnetic field is required for Lima bean photosynthesis and reactive oxygen species production.</w:t>
      </w:r>
      <w:r>
        <w:t xml:space="preserve"> </w:t>
      </w:r>
      <w:r>
        <w:rPr>
          <w:i/>
          <w:iCs/>
        </w:rPr>
        <w:t xml:space="preserve">Int. J. Mol. Sci.</w:t>
      </w:r>
      <w:r>
        <w:t xml:space="preserve"> </w:t>
      </w:r>
      <w:r>
        <w:rPr>
          <w:b/>
          <w:bCs/>
        </w:rPr>
        <w:t xml:space="preserve">24</w:t>
      </w:r>
      <w:r>
        <w:t xml:space="preserve">, 2896 (2023). https://doi.org/10.3390/ijms24032896</w:t>
      </w:r>
    </w:p>
    <w:p>
      <w:pPr>
        <w:pStyle w:val="Compact"/>
        <w:numPr>
          <w:ilvl w:val="0"/>
          <w:numId w:val="1004"/>
        </w:numPr>
      </w:pPr>
      <w:r>
        <w:t xml:space="preserve">Agliassa, C. et al. Reduction of the geomagnetic field delays</w:t>
      </w:r>
      <w:r>
        <w:t xml:space="preserve"> </w:t>
      </w:r>
      <w:r>
        <w:rPr>
          <w:i/>
          <w:iCs/>
        </w:rPr>
        <w:t xml:space="preserve">Arabidopsis thaliana</w:t>
      </w:r>
      <w:r>
        <w:t xml:space="preserve"> </w:t>
      </w:r>
      <w:r>
        <w:t xml:space="preserve">flowering time through downregulation of flowering-related genes.</w:t>
      </w:r>
      <w:r>
        <w:t xml:space="preserve"> </w:t>
      </w:r>
      <w:r>
        <w:rPr>
          <w:i/>
          <w:iCs/>
        </w:rPr>
        <w:t xml:space="preserve">Bioelectromagnetics</w:t>
      </w:r>
      <w:r>
        <w:t xml:space="preserve"> </w:t>
      </w:r>
      <w:r>
        <w:rPr>
          <w:b/>
          <w:bCs/>
        </w:rPr>
        <w:t xml:space="preserve">39</w:t>
      </w:r>
      <w:r>
        <w:t xml:space="preserve">, 361–374 (2018). https://doi.org/10.1002/bem.22123</w:t>
      </w:r>
    </w:p>
    <w:p>
      <w:pPr>
        <w:pStyle w:val="Compact"/>
        <w:numPr>
          <w:ilvl w:val="0"/>
          <w:numId w:val="1004"/>
        </w:numPr>
      </w:pPr>
      <w:r>
        <w:t xml:space="preserve">Maffei, M. E. et al. Peppermint (</w:t>
      </w:r>
      <w:r>
        <w:rPr>
          <w:i/>
          <w:iCs/>
        </w:rPr>
        <w:t xml:space="preserve">Mentha</w:t>
      </w:r>
      <w:r>
        <w:rPr>
          <w:i/>
          <w:iCs/>
        </w:rPr>
        <w:t xml:space="preserve"> </w:t>
      </w:r>
      <m:oMath>
        <m:r>
          <m:rPr>
            <m:sty m:val="p"/>
          </m:rPr>
          <m:t>×</m:t>
        </m:r>
      </m:oMath>
      <w:r>
        <w:rPr>
          <w:i/>
          <w:iCs/>
        </w:rPr>
        <w:t xml:space="preserve"> </w:t>
      </w:r>
      <w:r>
        <w:rPr>
          <w:i/>
          <w:iCs/>
        </w:rPr>
        <w:t xml:space="preserve">piperita</w:t>
      </w:r>
      <w:r>
        <w:t xml:space="preserve">) response to near-null magnetic field involves modulated monoterpene and flavonoid biosynthesis.</w:t>
      </w:r>
      <w:r>
        <w:t xml:space="preserve"> </w:t>
      </w:r>
      <w:r>
        <w:rPr>
          <w:i/>
          <w:iCs/>
        </w:rPr>
        <w:t xml:space="preserve">J. Plant Res.</w:t>
      </w:r>
      <w:r>
        <w:t xml:space="preserve"> </w:t>
      </w:r>
      <w:r>
        <w:rPr>
          <w:b/>
          <w:bCs/>
        </w:rPr>
        <w:t xml:space="preserve">134</w:t>
      </w:r>
      <w:r>
        <w:t xml:space="preserve">, 823–834 (2021).</w:t>
      </w:r>
    </w:p>
    <w:p>
      <w:pPr>
        <w:pStyle w:val="Compact"/>
        <w:numPr>
          <w:ilvl w:val="0"/>
          <w:numId w:val="1004"/>
        </w:numPr>
      </w:pPr>
      <w:r>
        <w:t xml:space="preserve">Gangappa, S. N. &amp; Botto, J. F. The multifaceted roles of HY5 in plant growth and development.</w:t>
      </w:r>
      <w:r>
        <w:t xml:space="preserve"> </w:t>
      </w:r>
      <w:r>
        <w:rPr>
          <w:i/>
          <w:iCs/>
        </w:rPr>
        <w:t xml:space="preserve">Mol. Plant</w:t>
      </w:r>
      <w:r>
        <w:t xml:space="preserve"> </w:t>
      </w:r>
      <w:r>
        <w:rPr>
          <w:b/>
          <w:bCs/>
        </w:rPr>
        <w:t xml:space="preserve">9</w:t>
      </w:r>
      <w:r>
        <w:t xml:space="preserve">, 1353–1365 (2016). https://doi.org/10.1016/j.molp.2016.07.002</w:t>
      </w:r>
    </w:p>
    <w:p>
      <w:pPr>
        <w:pStyle w:val="Compact"/>
        <w:numPr>
          <w:ilvl w:val="0"/>
          <w:numId w:val="1004"/>
        </w:numPr>
      </w:pPr>
      <w:r>
        <w:t xml:space="preserve">Toledo-Ortiz, G. et al. The HY5 transcription factor integrates blue-light and hormonal cues to drive plastid development.</w:t>
      </w:r>
      <w:r>
        <w:t xml:space="preserve"> </w:t>
      </w:r>
      <w:r>
        <w:rPr>
          <w:i/>
          <w:iCs/>
        </w:rPr>
        <w:t xml:space="preserve">Plant Cell</w:t>
      </w:r>
      <w:r>
        <w:t xml:space="preserve"> </w:t>
      </w:r>
      <w:r>
        <w:rPr>
          <w:b/>
          <w:bCs/>
        </w:rPr>
        <w:t xml:space="preserve">26</w:t>
      </w:r>
      <w:r>
        <w:t xml:space="preserve">, 1392–1407 (2014).</w:t>
      </w:r>
    </w:p>
    <w:p>
      <w:pPr>
        <w:pStyle w:val="Compact"/>
        <w:numPr>
          <w:ilvl w:val="0"/>
          <w:numId w:val="1004"/>
        </w:numPr>
      </w:pPr>
      <w:r>
        <w:t xml:space="preserve">Hore, P. J. &amp; Mouritsen, H. The radical-pair mechanism of magnetoreception.</w:t>
      </w:r>
      <w:r>
        <w:t xml:space="preserve"> </w:t>
      </w:r>
      <w:r>
        <w:rPr>
          <w:i/>
          <w:iCs/>
        </w:rPr>
        <w:t xml:space="preserve">Annu. Rev. Biophys.</w:t>
      </w:r>
      <w:r>
        <w:t xml:space="preserve"> </w:t>
      </w:r>
      <w:r>
        <w:rPr>
          <w:b/>
          <w:bCs/>
        </w:rPr>
        <w:t xml:space="preserve">45</w:t>
      </w:r>
      <w:r>
        <w:t xml:space="preserve">, 299–344 (2016). https://doi.org/10.1146/annurev-biophys-032116-094545</w:t>
      </w:r>
    </w:p>
    <w:p>
      <w:pPr>
        <w:pStyle w:val="Compact"/>
        <w:numPr>
          <w:ilvl w:val="0"/>
          <w:numId w:val="1004"/>
        </w:numPr>
      </w:pPr>
      <w:r>
        <w:t xml:space="preserve">Solov’yov, I. A., Chandler, D. E. &amp; Schulten, K. Magnetic field effects in</w:t>
      </w:r>
      <w:r>
        <w:t xml:space="preserve"> </w:t>
      </w:r>
      <w:r>
        <w:rPr>
          <w:i/>
          <w:iCs/>
        </w:rPr>
        <w:t xml:space="preserve">Arabidopsis thaliana</w:t>
      </w:r>
      <w:r>
        <w:t xml:space="preserve"> </w:t>
      </w:r>
      <w:r>
        <w:t xml:space="preserve">cryptochrome-1.</w:t>
      </w:r>
      <w:r>
        <w:t xml:space="preserve"> </w:t>
      </w:r>
      <w:r>
        <w:rPr>
          <w:i/>
          <w:iCs/>
        </w:rPr>
        <w:t xml:space="preserve">Biophys. J.</w:t>
      </w:r>
      <w:r>
        <w:t xml:space="preserve"> </w:t>
      </w:r>
      <w:r>
        <w:rPr>
          <w:b/>
          <w:bCs/>
        </w:rPr>
        <w:t xml:space="preserve">92</w:t>
      </w:r>
      <w:r>
        <w:t xml:space="preserve">, 2711–2726 (2007). https://doi.org/10.1529/biophysj.106.097139</w:t>
      </w:r>
    </w:p>
    <w:p>
      <w:pPr>
        <w:pStyle w:val="Compact"/>
        <w:numPr>
          <w:ilvl w:val="0"/>
          <w:numId w:val="1004"/>
        </w:numPr>
      </w:pPr>
      <w:r>
        <w:t xml:space="preserve">Ahmad, M., Galland, P., Ritz, T., Wiltschko, R. &amp; Wiltschko, W. Magnetic intensity affects cryptochrome-dependent responses in</w:t>
      </w:r>
      <w:r>
        <w:t xml:space="preserve"> </w:t>
      </w:r>
      <w:r>
        <w:rPr>
          <w:i/>
          <w:iCs/>
        </w:rPr>
        <w:t xml:space="preserve">Arabidopsis thaliana</w:t>
      </w:r>
      <w:r>
        <w:t xml:space="preserve">.</w:t>
      </w:r>
      <w:r>
        <w:t xml:space="preserve"> </w:t>
      </w:r>
      <w:r>
        <w:rPr>
          <w:i/>
          <w:iCs/>
        </w:rPr>
        <w:t xml:space="preserve">Planta</w:t>
      </w:r>
      <w:r>
        <w:t xml:space="preserve"> </w:t>
      </w:r>
      <w:r>
        <w:rPr>
          <w:b/>
          <w:bCs/>
        </w:rPr>
        <w:t xml:space="preserve">225</w:t>
      </w:r>
      <w:r>
        <w:t xml:space="preserve">, 615–624 (2007). https://doi.org/10.1007/s00425-006-0383-0</w:t>
      </w:r>
    </w:p>
    <w:p>
      <w:pPr>
        <w:pStyle w:val="Compact"/>
        <w:numPr>
          <w:ilvl w:val="0"/>
          <w:numId w:val="1004"/>
        </w:numPr>
      </w:pPr>
      <w:r>
        <w:t xml:space="preserve">Briat, J.-F., Duc, C., Ravet, K. &amp; Gaymard, F. Ferritins and iron storage in plants.</w:t>
      </w:r>
      <w:r>
        <w:t xml:space="preserve"> </w:t>
      </w:r>
      <w:r>
        <w:rPr>
          <w:i/>
          <w:iCs/>
        </w:rPr>
        <w:t xml:space="preserve">Biochim. Biophys. Acta</w:t>
      </w:r>
      <w:r>
        <w:t xml:space="preserve"> </w:t>
      </w:r>
      <w:r>
        <w:rPr>
          <w:b/>
          <w:bCs/>
        </w:rPr>
        <w:t xml:space="preserve">1800</w:t>
      </w:r>
      <w:r>
        <w:t xml:space="preserve">, 806–814 (2010). https://doi.org/10.1016/j.bbagen.2009.12.003</w:t>
      </w:r>
    </w:p>
    <w:p>
      <w:pPr>
        <w:pStyle w:val="Compact"/>
        <w:numPr>
          <w:ilvl w:val="0"/>
          <w:numId w:val="1004"/>
        </w:numPr>
      </w:pPr>
      <w:r>
        <w:t xml:space="preserve">Islam, M., Maffei, M. E. &amp; Vigani, G. The geomagnetic field is a contributing factor for an efficient iron uptake in</w:t>
      </w:r>
      <w:r>
        <w:t xml:space="preserve"> </w:t>
      </w:r>
      <w:r>
        <w:rPr>
          <w:i/>
          <w:iCs/>
        </w:rPr>
        <w:t xml:space="preserve">Arabidopsis thaliana</w:t>
      </w:r>
      <w:r>
        <w:t xml:space="preserve">.</w:t>
      </w:r>
      <w:r>
        <w:t xml:space="preserve"> </w:t>
      </w:r>
      <w:r>
        <w:rPr>
          <w:i/>
          <w:iCs/>
        </w:rPr>
        <w:t xml:space="preserve">Front. Plant Sci.</w:t>
      </w:r>
      <w:r>
        <w:t xml:space="preserve"> </w:t>
      </w:r>
      <w:r>
        <w:rPr>
          <w:b/>
          <w:bCs/>
        </w:rPr>
        <w:t xml:space="preserve">11</w:t>
      </w:r>
      <w:r>
        <w:t xml:space="preserve">, 325 (2020). https://doi.org/10.3389/fpls.2020.00325</w:t>
      </w:r>
    </w:p>
    <w:p>
      <w:pPr>
        <w:pStyle w:val="Compact"/>
        <w:numPr>
          <w:ilvl w:val="0"/>
          <w:numId w:val="1004"/>
        </w:numPr>
      </w:pPr>
      <w:r>
        <w:t xml:space="preserve">Islam, M., Vigani, G. &amp; Maffei, M. E. The geomagnetic field modulates nutrient status and lipid metabolism during</w:t>
      </w:r>
      <w:r>
        <w:t xml:space="preserve"> </w:t>
      </w:r>
      <w:r>
        <w:rPr>
          <w:i/>
          <w:iCs/>
        </w:rPr>
        <w:t xml:space="preserve">Arabidopsis thaliana</w:t>
      </w:r>
      <w:r>
        <w:t xml:space="preserve"> </w:t>
      </w:r>
      <w:r>
        <w:t xml:space="preserve">plant development.</w:t>
      </w:r>
      <w:r>
        <w:t xml:space="preserve"> </w:t>
      </w:r>
      <w:r>
        <w:rPr>
          <w:i/>
          <w:iCs/>
        </w:rPr>
        <w:t xml:space="preserve">Plants</w:t>
      </w:r>
      <w:r>
        <w:t xml:space="preserve"> </w:t>
      </w:r>
      <w:r>
        <w:rPr>
          <w:b/>
          <w:bCs/>
        </w:rPr>
        <w:t xml:space="preserve">9</w:t>
      </w:r>
      <w:r>
        <w:t xml:space="preserve">, 1729 (2020). https://doi.org/10.3390/plants9121729</w:t>
      </w:r>
    </w:p>
    <w:p>
      <w:pPr>
        <w:pStyle w:val="Compact"/>
        <w:numPr>
          <w:ilvl w:val="0"/>
          <w:numId w:val="1004"/>
        </w:numPr>
      </w:pPr>
      <w:r>
        <w:t xml:space="preserve">Barker, R. J. &amp; Porterfield, D. M. Quantum Biology Atlas: A cross-species ontology, pathway compiler, and multi-omics projection toolkit for quantum biological mechanisms.</w:t>
      </w:r>
      <w:r>
        <w:t xml:space="preserve"> </w:t>
      </w:r>
      <w:r>
        <w:rPr>
          <w:i/>
          <w:iCs/>
        </w:rPr>
        <w:t xml:space="preserve">Zenodo / GitHub</w:t>
      </w:r>
      <w:r>
        <w:t xml:space="preserve"> </w:t>
      </w:r>
      <w:r>
        <w:t xml:space="preserve">https://github.com/dr-richard-barker/quantum-biology-atlas (2026).</w:t>
      </w:r>
    </w:p>
    <w:p>
      <w:pPr>
        <w:pStyle w:val="Compact"/>
        <w:numPr>
          <w:ilvl w:val="0"/>
          <w:numId w:val="1004"/>
        </w:numPr>
      </w:pPr>
      <w:r>
        <w:t xml:space="preserve">Meyer, E. H., Welchen, E. &amp; Carrie, C. Assembly of the complexes of the oxidative phosphorylation system in plant mitochondria.</w:t>
      </w:r>
      <w:r>
        <w:t xml:space="preserve"> </w:t>
      </w:r>
      <w:r>
        <w:rPr>
          <w:i/>
          <w:iCs/>
        </w:rPr>
        <w:t xml:space="preserve">Physiol. Plant.</w:t>
      </w:r>
      <w:r>
        <w:t xml:space="preserve"> </w:t>
      </w:r>
      <w:r>
        <w:rPr>
          <w:b/>
          <w:bCs/>
        </w:rPr>
        <w:t xml:space="preserve">157</w:t>
      </w:r>
      <w:r>
        <w:t xml:space="preserve">, 294–309 (2016).</w:t>
      </w:r>
    </w:p>
    <w:p>
      <w:pPr>
        <w:pStyle w:val="Compact"/>
        <w:numPr>
          <w:ilvl w:val="0"/>
          <w:numId w:val="1004"/>
        </w:numPr>
      </w:pPr>
      <w:r>
        <w:t xml:space="preserve">Maeda, K. et al. Chemical compass model of avian magnetoreception.</w:t>
      </w:r>
      <w:r>
        <w:t xml:space="preserve"> </w:t>
      </w:r>
      <w:r>
        <w:rPr>
          <w:i/>
          <w:iCs/>
        </w:rPr>
        <w:t xml:space="preserve">Nature</w:t>
      </w:r>
      <w:r>
        <w:t xml:space="preserve"> </w:t>
      </w:r>
      <w:r>
        <w:rPr>
          <w:b/>
          <w:bCs/>
        </w:rPr>
        <w:t xml:space="preserve">453</w:t>
      </w:r>
      <w:r>
        <w:t xml:space="preserve">, 387–390 (2008). https://doi.org/10.1038/nature06834</w:t>
      </w:r>
    </w:p>
    <w:p>
      <w:pPr>
        <w:pStyle w:val="Compact"/>
        <w:numPr>
          <w:ilvl w:val="0"/>
          <w:numId w:val="1004"/>
        </w:numPr>
      </w:pPr>
      <w:r>
        <w:t xml:space="preserve">Pooam, M. et al. Magnetic sensitivity mediated by the</w:t>
      </w:r>
      <w:r>
        <w:t xml:space="preserve"> </w:t>
      </w:r>
      <w:r>
        <w:rPr>
          <w:i/>
          <w:iCs/>
        </w:rPr>
        <w:t xml:space="preserve">Arabidopsis</w:t>
      </w:r>
      <w:r>
        <w:t xml:space="preserve"> </w:t>
      </w:r>
      <w:r>
        <w:t xml:space="preserve">blue-light receptor cryptochrome occurs during flavin reoxidation in the dark.</w:t>
      </w:r>
      <w:r>
        <w:t xml:space="preserve"> </w:t>
      </w:r>
      <w:r>
        <w:rPr>
          <w:i/>
          <w:iCs/>
        </w:rPr>
        <w:t xml:space="preserve">Planta</w:t>
      </w:r>
      <w:r>
        <w:t xml:space="preserve"> </w:t>
      </w:r>
      <w:r>
        <w:rPr>
          <w:b/>
          <w:bCs/>
        </w:rPr>
        <w:t xml:space="preserve">249</w:t>
      </w:r>
      <w:r>
        <w:t xml:space="preserve">, 319–332 (2019). https://doi.org/10.1007/s00425-018-3002-y</w:t>
      </w:r>
    </w:p>
    <w:p>
      <w:pPr>
        <w:pStyle w:val="Compact"/>
        <w:numPr>
          <w:ilvl w:val="0"/>
          <w:numId w:val="1004"/>
        </w:numPr>
      </w:pPr>
      <w:r>
        <w:t xml:space="preserve">Demmig-Adams, B. &amp; Adams, W. W. Photoprotection in an ecological context: the remarkable diversity of extreme-energy dissipation mechanisms.</w:t>
      </w:r>
      <w:r>
        <w:t xml:space="preserve"> </w:t>
      </w:r>
      <w:r>
        <w:rPr>
          <w:i/>
          <w:iCs/>
        </w:rPr>
        <w:t xml:space="preserve">Funct. Plant Biol.</w:t>
      </w:r>
      <w:r>
        <w:t xml:space="preserve"> </w:t>
      </w:r>
      <w:r>
        <w:rPr>
          <w:b/>
          <w:bCs/>
        </w:rPr>
        <w:t xml:space="preserve">45</w:t>
      </w:r>
      <w:r>
        <w:t xml:space="preserve">, 697–711 (2018).</w:t>
      </w:r>
    </w:p>
    <w:p>
      <w:pPr>
        <w:pStyle w:val="Compact"/>
        <w:numPr>
          <w:ilvl w:val="0"/>
          <w:numId w:val="1004"/>
        </w:numPr>
      </w:pPr>
      <w:r>
        <w:t xml:space="preserve">Vanlerberghe, G. C. Alternative Oxidase: A mitochondrial respiratory pathway to maintain metabolic and signaling homeostasis during abiotic and biotic stress in plants.</w:t>
      </w:r>
      <w:r>
        <w:t xml:space="preserve"> </w:t>
      </w:r>
      <w:r>
        <w:rPr>
          <w:i/>
          <w:iCs/>
        </w:rPr>
        <w:t xml:space="preserve">Int. J. Mol. Sci.</w:t>
      </w:r>
      <w:r>
        <w:t xml:space="preserve"> </w:t>
      </w:r>
      <w:r>
        <w:rPr>
          <w:b/>
          <w:bCs/>
        </w:rPr>
        <w:t xml:space="preserve">14</w:t>
      </w:r>
      <w:r>
        <w:t xml:space="preserve">, 6805–6847 (2013). https://doi.org/10.3390/ijms14046805</w:t>
      </w:r>
    </w:p>
    <w:p>
      <w:pPr>
        <w:pStyle w:val="Compact"/>
        <w:numPr>
          <w:ilvl w:val="0"/>
          <w:numId w:val="1004"/>
        </w:numPr>
      </w:pPr>
      <w:r>
        <w:t xml:space="preserve">Zadeh-Haghighi, H. &amp; Simon, C. Magnetic field effects in biology from the perspective of the radical pair mechanism.</w:t>
      </w:r>
      <w:r>
        <w:t xml:space="preserve"> </w:t>
      </w:r>
      <w:r>
        <w:rPr>
          <w:i/>
          <w:iCs/>
        </w:rPr>
        <w:t xml:space="preserve">J. R. Soc. Interface</w:t>
      </w:r>
      <w:r>
        <w:t xml:space="preserve"> </w:t>
      </w:r>
      <w:r>
        <w:rPr>
          <w:b/>
          <w:bCs/>
        </w:rPr>
        <w:t xml:space="preserve">19</w:t>
      </w:r>
      <w:r>
        <w:t xml:space="preserve">, 20220325 (2022). https://doi.org/10.1098/rsif.2022.0325</w:t>
      </w:r>
    </w:p>
    <w:p>
      <w:pPr>
        <w:pStyle w:val="Compact"/>
        <w:numPr>
          <w:ilvl w:val="0"/>
          <w:numId w:val="1004"/>
        </w:numPr>
      </w:pPr>
      <w:r>
        <w:t xml:space="preserve">Miloslavina, Y. et al. Charge separation kinetics in intact photosystem II core particles is trap-limited: a picosecond fluorescence study.</w:t>
      </w:r>
      <w:r>
        <w:t xml:space="preserve"> </w:t>
      </w:r>
      <w:r>
        <w:rPr>
          <w:i/>
          <w:iCs/>
        </w:rPr>
        <w:t xml:space="preserve">Biochemistry</w:t>
      </w:r>
      <w:r>
        <w:t xml:space="preserve"> </w:t>
      </w:r>
      <w:r>
        <w:rPr>
          <w:b/>
          <w:bCs/>
        </w:rPr>
        <w:t xml:space="preserve">45</w:t>
      </w:r>
      <w:r>
        <w:t xml:space="preserve">, 2436–2442 (2006). https://doi.org/10.1021/bi052248c</w:t>
      </w:r>
    </w:p>
    <w:p>
      <w:pPr>
        <w:pStyle w:val="Compact"/>
        <w:numPr>
          <w:ilvl w:val="0"/>
          <w:numId w:val="1004"/>
        </w:numPr>
      </w:pPr>
      <w:r>
        <w:t xml:space="preserve">Vass, I. Role of charge recombination processes in photodamage and photoprotection of the photosystem II complex.</w:t>
      </w:r>
      <w:r>
        <w:t xml:space="preserve"> </w:t>
      </w:r>
      <w:r>
        <w:rPr>
          <w:i/>
          <w:iCs/>
        </w:rPr>
        <w:t xml:space="preserve">Physiol. Plant.</w:t>
      </w:r>
      <w:r>
        <w:t xml:space="preserve"> </w:t>
      </w:r>
      <w:r>
        <w:rPr>
          <w:b/>
          <w:bCs/>
        </w:rPr>
        <w:t xml:space="preserve">142</w:t>
      </w:r>
      <w:r>
        <w:t xml:space="preserve">, 6–16 (2011). https://doi.org/10.1111/j.1399-3054.2011.01454.x</w:t>
      </w:r>
    </w:p>
    <w:p>
      <w:pPr>
        <w:pStyle w:val="Compact"/>
        <w:numPr>
          <w:ilvl w:val="0"/>
          <w:numId w:val="1004"/>
        </w:numPr>
      </w:pPr>
      <w:r>
        <w:t xml:space="preserve">Sarewicz, M. et al. Triplet state of the semiquinone-Rieske cluster as an intermediate of electronic bifurcation catalyzed by cytochrome</w:t>
      </w:r>
      <w:r>
        <w:t xml:space="preserve"> </w:t>
      </w:r>
      <m:oMath>
        <m:r>
          <m:t>b</m:t>
        </m:r>
        <m:sSub>
          <m:e>
            <m:r>
              <m:t>c</m:t>
            </m:r>
          </m:e>
          <m:sub>
            <m:r>
              <m:t>1</m:t>
            </m:r>
          </m:sub>
        </m:sSub>
      </m:oMath>
      <w:r>
        <w:t xml:space="preserve">.</w:t>
      </w:r>
      <w:r>
        <w:t xml:space="preserve"> </w:t>
      </w:r>
      <w:r>
        <w:rPr>
          <w:i/>
          <w:iCs/>
        </w:rPr>
        <w:t xml:space="preserve">Biochemistry</w:t>
      </w:r>
      <w:r>
        <w:t xml:space="preserve"> </w:t>
      </w:r>
      <w:r>
        <w:rPr>
          <w:b/>
          <w:bCs/>
        </w:rPr>
        <w:t xml:space="preserve">52</w:t>
      </w:r>
      <w:r>
        <w:t xml:space="preserve">, 6388–6395 (2013). https://doi.org/10.1021/bi400624m</w:t>
      </w:r>
    </w:p>
    <w:p>
      <w:pPr>
        <w:pStyle w:val="Compact"/>
        <w:numPr>
          <w:ilvl w:val="0"/>
          <w:numId w:val="1004"/>
        </w:numPr>
      </w:pPr>
      <w:r>
        <w:t xml:space="preserve">Bujnowicz, Ł. et al. Suppression of superoxide production by a spin-spin coupling between semiquinone and the Rieske cluster in cytochrome</w:t>
      </w:r>
      <w:r>
        <w:t xml:space="preserve"> </w:t>
      </w:r>
      <m:oMath>
        <m:r>
          <m:t>b</m:t>
        </m:r>
        <m:sSub>
          <m:e>
            <m:r>
              <m:t>c</m:t>
            </m:r>
          </m:e>
          <m:sub>
            <m:r>
              <m:t>1</m:t>
            </m:r>
          </m:sub>
        </m:sSub>
      </m:oMath>
      <w:r>
        <w:t xml:space="preserve">.</w:t>
      </w:r>
      <w:r>
        <w:t xml:space="preserve"> </w:t>
      </w:r>
      <w:r>
        <w:rPr>
          <w:i/>
          <w:iCs/>
        </w:rPr>
        <w:t xml:space="preserve">FEBS Lett.</w:t>
      </w:r>
      <w:r>
        <w:t xml:space="preserve"> </w:t>
      </w:r>
      <w:r>
        <w:rPr>
          <w:b/>
          <w:bCs/>
        </w:rPr>
        <w:t xml:space="preserve">593</w:t>
      </w:r>
      <w:r>
        <w:t xml:space="preserve">, 3–12 (2019). https://doi.org/10.1002/1873-3468.13296</w:t>
      </w:r>
    </w:p>
    <w:p>
      <w:pPr>
        <w:pStyle w:val="Compact"/>
        <w:numPr>
          <w:ilvl w:val="0"/>
          <w:numId w:val="1004"/>
        </w:numPr>
      </w:pPr>
      <w:r>
        <w:t xml:space="preserve">Richards, J. T. et al. Hypobaric plant growth in spaceflight: Design, gas diffusion, and physiological adaptation.</w:t>
      </w:r>
      <w:r>
        <w:t xml:space="preserve"> </w:t>
      </w:r>
      <w:r>
        <w:rPr>
          <w:i/>
          <w:iCs/>
        </w:rPr>
        <w:t xml:space="preserve">Gravit. Space Biol. Bull.</w:t>
      </w:r>
      <w:r>
        <w:t xml:space="preserve"> </w:t>
      </w:r>
      <w:r>
        <w:rPr>
          <w:b/>
          <w:bCs/>
        </w:rPr>
        <w:t xml:space="preserve">19</w:t>
      </w:r>
      <w:r>
        <w:t xml:space="preserve">, 101–114 (2006).</w:t>
      </w:r>
    </w:p>
    <w:p>
      <w:pPr>
        <w:pStyle w:val="Compact"/>
        <w:numPr>
          <w:ilvl w:val="0"/>
          <w:numId w:val="1004"/>
        </w:numPr>
      </w:pPr>
      <w:r>
        <w:t xml:space="preserve">da Silveira, W. A. et al. Comprehensive multi-omics analysis reveals mitochondrial stress as a central biological hub for spaceflight impact.</w:t>
      </w:r>
      <w:r>
        <w:t xml:space="preserve"> </w:t>
      </w:r>
      <w:r>
        <w:rPr>
          <w:i/>
          <w:iCs/>
        </w:rPr>
        <w:t xml:space="preserve">Cell</w:t>
      </w:r>
      <w:r>
        <w:t xml:space="preserve"> </w:t>
      </w:r>
      <w:r>
        <w:rPr>
          <w:b/>
          <w:bCs/>
        </w:rPr>
        <w:t xml:space="preserve">183</w:t>
      </w:r>
      <w:r>
        <w:t xml:space="preserve">, 1185–1201 (2020). https://doi.org/10.1016/j.cell.2020.11.002</w:t>
      </w:r>
    </w:p>
    <w:p>
      <w:pPr>
        <w:pStyle w:val="Compact"/>
        <w:numPr>
          <w:ilvl w:val="0"/>
          <w:numId w:val="1004"/>
        </w:numPr>
      </w:pPr>
      <w:r>
        <w:t xml:space="preserve">Bauwe, H., Hagemann, M. &amp; Fernie, A. R. Photorespiration: players, partners and origin.</w:t>
      </w:r>
      <w:r>
        <w:t xml:space="preserve"> </w:t>
      </w:r>
      <w:r>
        <w:rPr>
          <w:i/>
          <w:iCs/>
        </w:rPr>
        <w:t xml:space="preserve">Trends Plant Sci.</w:t>
      </w:r>
      <w:r>
        <w:t xml:space="preserve"> </w:t>
      </w:r>
      <w:r>
        <w:rPr>
          <w:b/>
          <w:bCs/>
        </w:rPr>
        <w:t xml:space="preserve">15</w:t>
      </w:r>
      <w:r>
        <w:t xml:space="preserve">, 330–336 (2010). https://doi.org/10.1016/j.tplants.2010.03.006</w:t>
      </w:r>
    </w:p>
    <w:p>
      <w:pPr>
        <w:pStyle w:val="Compact"/>
        <w:numPr>
          <w:ilvl w:val="0"/>
          <w:numId w:val="1004"/>
        </w:numPr>
      </w:pPr>
      <w:r>
        <w:t xml:space="preserve">Moore, A. L. &amp; Siedow, J. N. The regulation and nature of the cyanide-resistant alternative oxidase of plant mitochondria.</w:t>
      </w:r>
      <w:r>
        <w:t xml:space="preserve"> </w:t>
      </w:r>
      <w:r>
        <w:rPr>
          <w:i/>
          <w:iCs/>
        </w:rPr>
        <w:t xml:space="preserve">Biochim. Biophys. Acta</w:t>
      </w:r>
      <w:r>
        <w:t xml:space="preserve"> </w:t>
      </w:r>
      <w:r>
        <w:rPr>
          <w:b/>
          <w:bCs/>
        </w:rPr>
        <w:t xml:space="preserve">1059</w:t>
      </w:r>
      <w:r>
        <w:t xml:space="preserve">, 121–140 (1991).</w:t>
      </w:r>
    </w:p>
    <w:p>
      <w:pPr>
        <w:pStyle w:val="Compact"/>
        <w:numPr>
          <w:ilvl w:val="0"/>
          <w:numId w:val="1004"/>
        </w:numPr>
      </w:pPr>
      <w:r>
        <w:t xml:space="preserve">Maxwell, D. P., Wang, Y. &amp; McIntosh, L. The alternative oxidase lowers mitochondrial reactive oxygen production in plant cells.</w:t>
      </w:r>
      <w:r>
        <w:t xml:space="preserve"> </w:t>
      </w:r>
      <w:r>
        <w:rPr>
          <w:i/>
          <w:iCs/>
        </w:rPr>
        <w:t xml:space="preserve">Proc. Natl. Acad. Sci. USA</w:t>
      </w:r>
      <w:r>
        <w:t xml:space="preserve"> </w:t>
      </w:r>
      <w:r>
        <w:rPr>
          <w:b/>
          <w:bCs/>
        </w:rPr>
        <w:t xml:space="preserve">96</w:t>
      </w:r>
      <w:r>
        <w:t xml:space="preserve">, 8271–8276 (1999). https://doi.org/10.1073/pnas.96.14.8271</w:t>
      </w:r>
    </w:p>
    <w:p>
      <w:pPr>
        <w:pStyle w:val="Compact"/>
        <w:numPr>
          <w:ilvl w:val="0"/>
          <w:numId w:val="1004"/>
        </w:numPr>
      </w:pPr>
      <w:r>
        <w:t xml:space="preserve">Arena, C. et al. Plants in space: Responses to ionizing radiation and interaction with microgravity.</w:t>
      </w:r>
      <w:r>
        <w:t xml:space="preserve"> </w:t>
      </w:r>
      <w:r>
        <w:rPr>
          <w:i/>
          <w:iCs/>
        </w:rPr>
        <w:t xml:space="preserve">Front. Plant Sci.</w:t>
      </w:r>
      <w:r>
        <w:t xml:space="preserve"> </w:t>
      </w:r>
      <w:r>
        <w:rPr>
          <w:b/>
          <w:bCs/>
        </w:rPr>
        <w:t xml:space="preserve">5</w:t>
      </w:r>
      <w:r>
        <w:t xml:space="preserve">, 550 (2014). https://doi.org/10.3389/fpls.2014.00550</w:t>
      </w:r>
    </w:p>
    <w:p>
      <w:pPr>
        <w:pStyle w:val="Compact"/>
        <w:numPr>
          <w:ilvl w:val="0"/>
          <w:numId w:val="1004"/>
        </w:numPr>
      </w:pPr>
      <w:r>
        <w:t xml:space="preserve">Cucinotta, F. A. &amp; Durante, M. Cancer risk from exposure to galactic cosmic rays: implications for early exploration missions.</w:t>
      </w:r>
      <w:r>
        <w:t xml:space="preserve"> </w:t>
      </w:r>
      <w:r>
        <w:rPr>
          <w:i/>
          <w:iCs/>
        </w:rPr>
        <w:t xml:space="preserve">Lancet Oncol.</w:t>
      </w:r>
      <w:r>
        <w:t xml:space="preserve"> </w:t>
      </w:r>
      <w:r>
        <w:rPr>
          <w:b/>
          <w:bCs/>
        </w:rPr>
        <w:t xml:space="preserve">7</w:t>
      </w:r>
      <w:r>
        <w:t xml:space="preserve">, 431–435 (2006).</w:t>
      </w:r>
    </w:p>
    <w:p>
      <w:pPr>
        <w:pStyle w:val="Compact"/>
        <w:numPr>
          <w:ilvl w:val="0"/>
          <w:numId w:val="1004"/>
        </w:numPr>
      </w:pPr>
      <w:r>
        <w:t xml:space="preserve">Parmagnani, A. S., Mannino, G. &amp; Maffei, M. E. Transcriptomics and metabolomics of reactive oxygen species modulation in near-null magnetic field-induced</w:t>
      </w:r>
      <w:r>
        <w:t xml:space="preserve"> </w:t>
      </w:r>
      <w:r>
        <w:rPr>
          <w:i/>
          <w:iCs/>
        </w:rPr>
        <w:t xml:space="preserve">Arabidopsis thaliana</w:t>
      </w:r>
      <w:r>
        <w:t xml:space="preserve">.</w:t>
      </w:r>
      <w:r>
        <w:t xml:space="preserve"> </w:t>
      </w:r>
      <w:r>
        <w:rPr>
          <w:i/>
          <w:iCs/>
        </w:rPr>
        <w:t xml:space="preserve">Biomolecules</w:t>
      </w:r>
      <w:r>
        <w:t xml:space="preserve"> </w:t>
      </w:r>
      <w:r>
        <w:rPr>
          <w:b/>
          <w:bCs/>
        </w:rPr>
        <w:t xml:space="preserve">12</w:t>
      </w:r>
      <w:r>
        <w:t xml:space="preserve">, 1824 (2022). https://doi.org/10.3390/biom12121824</w:t>
      </w:r>
    </w:p>
    <w:p>
      <w:pPr>
        <w:pStyle w:val="Compact"/>
        <w:numPr>
          <w:ilvl w:val="0"/>
          <w:numId w:val="1004"/>
        </w:numPr>
      </w:pPr>
      <w:r>
        <w:t xml:space="preserve">Garrett-Bakelman, F. E. et al. The NASA Twins Study: A multidimensional analysis of a year-long human spaceflight.</w:t>
      </w:r>
      <w:r>
        <w:t xml:space="preserve"> </w:t>
      </w:r>
      <w:r>
        <w:rPr>
          <w:i/>
          <w:iCs/>
        </w:rPr>
        <w:t xml:space="preserve">Science</w:t>
      </w:r>
      <w:r>
        <w:t xml:space="preserve"> </w:t>
      </w:r>
      <w:r>
        <w:rPr>
          <w:b/>
          <w:bCs/>
        </w:rPr>
        <w:t xml:space="preserve">364</w:t>
      </w:r>
      <w:r>
        <w:t xml:space="preserve">, eaau8650 (2019). https://doi.org/10.1126/science.aau8650</w:t>
      </w:r>
    </w:p>
    <w:p>
      <w:pPr>
        <w:pStyle w:val="Compact"/>
        <w:numPr>
          <w:ilvl w:val="0"/>
          <w:numId w:val="1004"/>
        </w:numPr>
      </w:pPr>
      <w:r>
        <w:t xml:space="preserve">Barker, R. J. et al. Spaceflight-induced changes in gene expression, chromatin accessibility, and histone modifications across</w:t>
      </w:r>
      <w:r>
        <w:t xml:space="preserve"> </w:t>
      </w:r>
      <w:r>
        <w:rPr>
          <w:i/>
          <w:iCs/>
        </w:rPr>
        <w:t xml:space="preserve">Arabidopsis thaliana</w:t>
      </w:r>
      <w:r>
        <w:t xml:space="preserve"> </w:t>
      </w:r>
      <w:r>
        <w:t xml:space="preserve">ecotypes.</w:t>
      </w:r>
      <w:r>
        <w:t xml:space="preserve"> </w:t>
      </w:r>
      <w:r>
        <w:rPr>
          <w:i/>
          <w:iCs/>
        </w:rPr>
        <w:t xml:space="preserve">NPJ Microgravity</w:t>
      </w:r>
      <w:r>
        <w:t xml:space="preserve"> </w:t>
      </w:r>
      <w:r>
        <w:rPr>
          <w:b/>
          <w:bCs/>
        </w:rPr>
        <w:t xml:space="preserve">9</w:t>
      </w:r>
      <w:r>
        <w:t xml:space="preserve">, 42 (2023). https://doi.org/10.1038/s41526-023-00287-2</w:t>
      </w:r>
    </w:p>
    <w:p>
      <w:pPr>
        <w:pStyle w:val="Compact"/>
        <w:numPr>
          <w:ilvl w:val="0"/>
          <w:numId w:val="1004"/>
        </w:numPr>
      </w:pPr>
      <w:r>
        <w:t xml:space="preserve">Mo, W. C. et al. Hypomagnetic field alters human neuroblastoma cell cycle kinetics and transcriptomic networks.</w:t>
      </w:r>
      <w:r>
        <w:t xml:space="preserve"> </w:t>
      </w:r>
      <w:r>
        <w:rPr>
          <w:i/>
          <w:iCs/>
        </w:rPr>
        <w:t xml:space="preserve">PLoS ONE</w:t>
      </w:r>
      <w:r>
        <w:t xml:space="preserve"> </w:t>
      </w:r>
      <w:r>
        <w:rPr>
          <w:b/>
          <w:bCs/>
        </w:rPr>
        <w:t xml:space="preserve">7</w:t>
      </w:r>
      <w:r>
        <w:t xml:space="preserve">, e44650 (2012).</w:t>
      </w:r>
    </w:p>
    <w:p>
      <w:pPr>
        <w:pStyle w:val="Compact"/>
        <w:numPr>
          <w:ilvl w:val="0"/>
          <w:numId w:val="1004"/>
        </w:numPr>
      </w:pPr>
      <w:r>
        <w:t xml:space="preserve">Xu, C. et al. Hypomagnetic field promotes osteoclastogenesis and suppresses osteoblastogenesis in rat bone marrow cell cultures.</w:t>
      </w:r>
      <w:r>
        <w:t xml:space="preserve"> </w:t>
      </w:r>
      <w:r>
        <w:rPr>
          <w:i/>
          <w:iCs/>
        </w:rPr>
        <w:t xml:space="preserve">Bioelectromagnetics</w:t>
      </w:r>
      <w:r>
        <w:t xml:space="preserve"> </w:t>
      </w:r>
      <w:r>
        <w:rPr>
          <w:b/>
          <w:bCs/>
        </w:rPr>
        <w:t xml:space="preserve">33</w:t>
      </w:r>
      <w:r>
        <w:t xml:space="preserve">, 685–694 (2012).</w:t>
      </w:r>
    </w:p>
    <w:p>
      <w:pPr>
        <w:pStyle w:val="Compact"/>
        <w:numPr>
          <w:ilvl w:val="0"/>
          <w:numId w:val="1004"/>
        </w:numPr>
      </w:pPr>
      <w:r>
        <w:t xml:space="preserve">Harris, S.-R. et al. Effect of magnetic fields on cryptochrome-dependent responses in</w:t>
      </w:r>
      <w:r>
        <w:t xml:space="preserve"> </w:t>
      </w:r>
      <w:r>
        <w:rPr>
          <w:i/>
          <w:iCs/>
        </w:rPr>
        <w:t xml:space="preserve">Arabidopsis thaliana</w:t>
      </w:r>
      <w:r>
        <w:t xml:space="preserve">.</w:t>
      </w:r>
      <w:r>
        <w:t xml:space="preserve"> </w:t>
      </w:r>
      <w:r>
        <w:rPr>
          <w:i/>
          <w:iCs/>
        </w:rPr>
        <w:t xml:space="preserve">J. R. Soc. Interface</w:t>
      </w:r>
      <w:r>
        <w:t xml:space="preserve"> </w:t>
      </w:r>
      <w:r>
        <w:rPr>
          <w:b/>
          <w:bCs/>
        </w:rPr>
        <w:t xml:space="preserve">6</w:t>
      </w:r>
      <w:r>
        <w:t xml:space="preserve">, 1193–1205 (2009). https://doi.org/10.1098/rsif.2008.0519</w:t>
      </w:r>
    </w:p>
    <w:p>
      <w:pPr>
        <w:pStyle w:val="Compact"/>
        <w:numPr>
          <w:ilvl w:val="0"/>
          <w:numId w:val="1004"/>
        </w:numPr>
      </w:pPr>
      <w:r>
        <w:t xml:space="preserve">Albaqami, M. et al. </w:t>
      </w:r>
      <w:r>
        <w:rPr>
          <w:i/>
          <w:iCs/>
        </w:rPr>
        <w:t xml:space="preserve">Arabidopsis</w:t>
      </w:r>
      <w:r>
        <w:t xml:space="preserve"> </w:t>
      </w:r>
      <w:r>
        <w:t xml:space="preserve">cryptochrome is responsive to radiofrequency electromagnetic fields.</w:t>
      </w:r>
      <w:r>
        <w:t xml:space="preserve"> </w:t>
      </w:r>
      <w:r>
        <w:rPr>
          <w:i/>
          <w:iCs/>
        </w:rPr>
        <w:t xml:space="preserve">Sci. Rep.</w:t>
      </w:r>
      <w:r>
        <w:t xml:space="preserve"> </w:t>
      </w:r>
      <w:r>
        <w:rPr>
          <w:b/>
          <w:bCs/>
        </w:rPr>
        <w:t xml:space="preserve">10</w:t>
      </w:r>
      <w:r>
        <w:t xml:space="preserve">, 11260 (2020). https://doi.org/10.1038/s41598-020-67165-5</w:t>
      </w:r>
    </w:p>
    <w:p>
      <w:pPr>
        <w:pStyle w:val="Compact"/>
        <w:numPr>
          <w:ilvl w:val="0"/>
          <w:numId w:val="1004"/>
        </w:numPr>
      </w:pPr>
      <w:r>
        <w:t xml:space="preserve">Williams, P. H. Rapid-cycling</w:t>
      </w:r>
      <w:r>
        <w:t xml:space="preserve"> </w:t>
      </w:r>
      <w:r>
        <w:rPr>
          <w:i/>
          <w:iCs/>
        </w:rPr>
        <w:t xml:space="preserve">Brassica</w:t>
      </w:r>
      <w:r>
        <w:t xml:space="preserve"> </w:t>
      </w:r>
      <w:r>
        <w:t xml:space="preserve">species in laboratory research and education. In:</w:t>
      </w:r>
      <w:r>
        <w:t xml:space="preserve"> </w:t>
      </w:r>
      <w:r>
        <w:rPr>
          <w:i/>
          <w:iCs/>
        </w:rPr>
        <w:t xml:space="preserve">Tested Studies for Laboratory Teaching</w:t>
      </w:r>
      <w:r>
        <w:t xml:space="preserve"> </w:t>
      </w:r>
      <w:r>
        <w:t xml:space="preserve">(ed. C. A. Goldman), Proceedings of the 10th Workshop/Conference of the Association for Biology Laboratory Education (ABLE), Vol. 10, pp. 1–16 (1989). https://www.ableweb.org/biologylabs/wp-content/uploads/volumes/vol-10/1-williams.pdf</w:t>
      </w:r>
    </w:p>
    <w:p>
      <w:pPr>
        <w:pStyle w:val="Compact"/>
        <w:numPr>
          <w:ilvl w:val="0"/>
          <w:numId w:val="1004"/>
        </w:numPr>
      </w:pPr>
      <w:r>
        <w:t xml:space="preserve">Whittemore, R. &amp; Knafl, K. The integrative review: updated methodology.</w:t>
      </w:r>
      <w:r>
        <w:t xml:space="preserve"> </w:t>
      </w:r>
      <w:r>
        <w:rPr>
          <w:i/>
          <w:iCs/>
        </w:rPr>
        <w:t xml:space="preserve">J. Adv. Nurs.</w:t>
      </w:r>
      <w:r>
        <w:t xml:space="preserve"> </w:t>
      </w:r>
      <w:r>
        <w:rPr>
          <w:b/>
          <w:bCs/>
        </w:rPr>
        <w:t xml:space="preserve">52</w:t>
      </w:r>
      <w:r>
        <w:t xml:space="preserve">, 546–553 (2005). https://doi.org/10.1111/j.1365-2648.2005.03621.x</w:t>
      </w:r>
    </w:p>
    <w:p>
      <w:pPr>
        <w:pStyle w:val="Compact"/>
        <w:numPr>
          <w:ilvl w:val="0"/>
          <w:numId w:val="1004"/>
        </w:numPr>
      </w:pPr>
      <w:r>
        <w:t xml:space="preserve">Baethge, C., Goldbeck-Wood, S. &amp; Mertens, S. SANRA—a scale for the quality assessment of narrative review articles.</w:t>
      </w:r>
      <w:r>
        <w:t xml:space="preserve"> </w:t>
      </w:r>
      <w:r>
        <w:rPr>
          <w:i/>
          <w:iCs/>
        </w:rPr>
        <w:t xml:space="preserve">Res. Integr. Peer Rev.</w:t>
      </w:r>
      <w:r>
        <w:t xml:space="preserve"> </w:t>
      </w:r>
      <w:r>
        <w:rPr>
          <w:b/>
          <w:bCs/>
        </w:rPr>
        <w:t xml:space="preserve">4</w:t>
      </w:r>
      <w:r>
        <w:t xml:space="preserve">, 5 (2019). https://doi.org/10.1186/s41073-019-0064-8</w:t>
      </w:r>
    </w:p>
    <w:p>
      <w:pPr>
        <w:pStyle w:val="Compact"/>
        <w:numPr>
          <w:ilvl w:val="0"/>
          <w:numId w:val="1004"/>
        </w:numPr>
      </w:pPr>
      <w:r>
        <w:t xml:space="preserve">Blank, M. L. et al. From pantry to physiology: A narrative review linking food insecurity to biological dysfunction.</w:t>
      </w:r>
      <w:r>
        <w:t xml:space="preserve"> </w:t>
      </w:r>
      <w:r>
        <w:rPr>
          <w:i/>
          <w:iCs/>
        </w:rPr>
        <w:t xml:space="preserve">Dialogues Health</w:t>
      </w:r>
      <w:r>
        <w:t xml:space="preserve"> </w:t>
      </w:r>
      <w:r>
        <w:rPr>
          <w:b/>
          <w:bCs/>
        </w:rPr>
        <w:t xml:space="preserve">8</w:t>
      </w:r>
      <w:r>
        <w:t xml:space="preserve">, 100308 (2026). https://doi.org/10.1016/j.dialog.2026.100308</w:t>
      </w:r>
    </w:p>
    <w:bookmarkEnd w:id="59"/>
    <w:bookmarkEnd w:id="6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22" Target="media/rId22.png" /><Relationship Type="http://schemas.openxmlformats.org/officeDocument/2006/relationships/image" Id="rId27" Target="media/rId27.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46" Target="media/rId4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2026-10-30T23:15:09Z</dcterms:created>
  <dcterms:modified xsi:type="dcterms:W3CDTF">2026-10-30T23:15:09Z</dcterms:modified>
</cp:coreProperties>
</file>

<file path=docProps/custom.xml><?xml version="1.0" encoding="utf-8"?>
<Properties xmlns="http://schemas.openxmlformats.org/officeDocument/2006/custom-properties" xmlns:vt="http://schemas.openxmlformats.org/officeDocument/2006/docPropsVTypes"/>
</file>