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Arial" w:hAnsi="Arial" w:cs="Arial"/>
          <w:sz w:val="24"/>
          <w:sz-cs w:val="24"/>
          <w:spacing w:val="0"/>
          <w:color w:val="073B60"/>
        </w:rPr>
        <w:t xml:space="preserve">NATURE PARTNER JOURNALS • NPJ MICROGRAVITY • SYSTEMS BIOLOGY &amp; SPACE AGRICULTURE RESEARCH</w:t>
      </w:r>
    </w:p>
    <w:p>
      <w:pPr>
        <w:spacing w:after="320"/>
      </w:pPr>
      <w:r>
        <w:rPr>
          <w:rFonts w:ascii="Arial" w:hAnsi="Arial" w:cs="Arial"/>
          <w:sz w:val="53"/>
          <w:sz-cs w:val="53"/>
          <w:b/>
          <w:spacing w:val="0"/>
          <w:color w:val="073B60"/>
        </w:rPr>
        <w:t xml:space="preserve">Systems Biology Integration of Glycomics and Cytoskeletal Transport Networks Reveals Microgravity-Induced Cell Wall Remodeling Mechanisms in </w:t>
      </w:r>
      <w:r>
        <w:rPr>
          <w:rFonts w:ascii="Arial" w:hAnsi="Arial" w:cs="Arial"/>
          <w:sz w:val="53"/>
          <w:sz-cs w:val="53"/>
          <w:b/>
          <w:i/>
          <w:spacing w:val="0"/>
          <w:color w:val="073B60"/>
        </w:rPr>
        <w:t xml:space="preserve">Arabidopsis thaliana</w:t>
      </w:r>
      <w:r>
        <w:rPr>
          <w:rFonts w:ascii="Arial" w:hAnsi="Arial" w:cs="Arial"/>
          <w:sz w:val="53"/>
          <w:sz-cs w:val="53"/>
          <w:b/>
          <w:spacing w:val="0"/>
          <w:color w:val="073B60"/>
        </w:rPr>
        <w:t xml:space="preserve"/>
      </w:r>
    </w:p>
    <w:p>
      <w:pPr/>
      <w:r>
        <w:rPr>
          <w:rFonts w:ascii="Times New Roman" w:hAnsi="Times New Roman" w:cs="Times New Roman"/>
          <w:sz w:val="32"/>
          <w:sz-cs w:val="32"/>
          <w:b/>
          <w:spacing w:val="0"/>
          <w:color w:val="0E0E0E"/>
        </w:rPr>
        <w:t xml:space="preserve">Richard Barker</w:t>
      </w:r>
      <w:r>
        <w:rPr>
          <w:rFonts w:ascii="Times New Roman" w:hAnsi="Times New Roman" w:cs="Times New Roman"/>
          <w:sz w:val="26"/>
          <w:sz-cs w:val="26"/>
          <w:b/>
          <w:vertAlign w:val="superscript"/>
          <w:spacing w:val="0"/>
          <w:color w:val="0E0E0E"/>
        </w:rPr>
        <w:t xml:space="preserve">1,*</w:t>
      </w:r>
      <w:r>
        <w:rPr>
          <w:rFonts w:ascii="Times New Roman" w:hAnsi="Times New Roman" w:cs="Times New Roman"/>
          <w:sz w:val="32"/>
          <w:sz-cs w:val="32"/>
          <w:b/>
          <w:spacing w:val="0"/>
          <w:color w:val="0E0E0E"/>
        </w:rPr>
        <w:t xml:space="preserve"/>
      </w:r>
    </w:p>
    <w:p>
      <w:pPr/>
      <w:r>
        <w:rPr>
          <w:rFonts w:ascii="Times New Roman" w:hAnsi="Times New Roman" w:cs="Times New Roman"/>
          <w:sz w:val="22"/>
          <w:sz-cs w:val="22"/>
          <w:vertAlign w:val="superscript"/>
          <w:spacing w:val="0"/>
          <w:color w:val="343434"/>
        </w:rPr>
        <w:t xml:space="preserve">1</w:t>
      </w:r>
      <w:r>
        <w:rPr>
          <w:rFonts w:ascii="Times New Roman" w:hAnsi="Times New Roman" w:cs="Times New Roman"/>
          <w:sz w:val="26"/>
          <w:sz-cs w:val="26"/>
          <w:spacing w:val="0"/>
          <w:color w:val="343434"/>
        </w:rPr>
        <w:t xml:space="preserve"> NASA GeneLab / Open Science Data Repository (OSDR), NASA Ames Research Center &amp; Kennedy Space Center, USA.</w:t>
      </w:r>
    </w:p>
    <w:p>
      <w:pPr/>
      <w:r>
        <w:rPr>
          <w:rFonts w:ascii="Times New Roman" w:hAnsi="Times New Roman" w:cs="Times New Roman"/>
          <w:sz w:val="22"/>
          <w:sz-cs w:val="22"/>
          <w:vertAlign w:val="superscript"/>
          <w:spacing w:val="0"/>
          <w:color w:val="343434"/>
        </w:rPr>
        <w:t xml:space="preserve">*</w:t>
      </w:r>
      <w:r>
        <w:rPr>
          <w:rFonts w:ascii="Times New Roman" w:hAnsi="Times New Roman" w:cs="Times New Roman"/>
          <w:sz w:val="26"/>
          <w:sz-cs w:val="26"/>
          <w:spacing w:val="0"/>
          <w:color w:val="343434"/>
        </w:rPr>
        <w:t xml:space="preserve"> Corresponding Author: </w:t>
      </w:r>
      <w:r>
        <w:rPr>
          <w:rFonts w:ascii="Times New Roman" w:hAnsi="Times New Roman" w:cs="Times New Roman"/>
          <w:sz w:val="26"/>
          <w:sz-cs w:val="26"/>
          <w:u w:val="single"/>
          <w:spacing w:val="0"/>
          <w:color w:val="0000E9"/>
        </w:rPr>
        <w:t xml:space="preserve">richard.barker@nasa.gov</w:t>
      </w:r>
      <w:r>
        <w:rPr>
          <w:rFonts w:ascii="Times New Roman" w:hAnsi="Times New Roman" w:cs="Times New Roman"/>
          <w:sz w:val="26"/>
          <w:sz-cs w:val="26"/>
          <w:spacing w:val="0"/>
          <w:color w:val="343434"/>
        </w:rPr>
        <w:t xml:space="preserve"/>
      </w:r>
    </w:p>
    <w:p>
      <w:pPr>
        <w:spacing w:after="265"/>
      </w:pPr>
      <w:r>
        <w:rPr>
          <w:rFonts w:ascii="Arial" w:hAnsi="Arial" w:cs="Arial"/>
          <w:sz w:val="32"/>
          <w:sz-cs w:val="32"/>
          <w:b/>
          <w:spacing w:val="0"/>
          <w:color w:val="073B60"/>
        </w:rPr>
        <w:t xml:space="preserve">ABSTRACT</w:t>
      </w:r>
      <w:r>
        <w:rPr>
          <w:rFonts w:ascii="Arial" w:hAnsi="Arial" w:cs="Arial"/>
          <w:sz w:val="32"/>
          <w:sz-cs w:val="32"/>
          <w:b/>
          <w:spacing w:val="0"/>
          <w:color w:val="073B60"/>
        </w:rPr>
        <w:t xml:space="preserve"/>
      </w:r>
    </w:p>
    <w:p>
      <w:pPr>
        <w:jc w:val="both"/>
        <w:spacing w:after="266"/>
      </w:pPr>
      <w:r>
        <w:rPr>
          <w:rFonts w:ascii="Times New Roman" w:hAnsi="Times New Roman" w:cs="Times New Roman"/>
          <w:sz w:val="28"/>
          <w:sz-cs w:val="28"/>
          <w:b/>
          <w:spacing w:val="0"/>
          <w:color w:val="0E0E0E"/>
        </w:rPr>
        <w:t xml:space="preserve">Background:</w:t>
      </w:r>
      <w:r>
        <w:rPr>
          <w:rFonts w:ascii="Times New Roman" w:hAnsi="Times New Roman" w:cs="Times New Roman"/>
          <w:sz w:val="28"/>
          <w:sz-cs w:val="28"/>
          <w:spacing w:val="0"/>
          <w:color w:val="0E0E0E"/>
        </w:rPr>
        <w:t xml:space="preserve"> Spaceflight exposes biological systems to microgravity, inducing pronounced biomechanical stress and structural reprogramming in plant cell walls. In NASA study OSD-615 (Advanced Plant EXperiment 03-1 / APEX-03-1), high-throughput glycome profiling across 155 monoclonal antibodies revealed extensive remodeling of non-cellulosic polysaccharides in </w:t>
      </w:r>
      <w:r>
        <w:rPr>
          <w:rFonts w:ascii="Times New Roman" w:hAnsi="Times New Roman" w:cs="Times New Roman"/>
          <w:sz w:val="28"/>
          <w:sz-cs w:val="28"/>
          <w:i/>
          <w:spacing w:val="0"/>
          <w:color w:val="0E0E0E"/>
        </w:rPr>
        <w:t xml:space="preserve">Arabidopsis thaliana</w:t>
      </w:r>
      <w:r>
        <w:rPr>
          <w:rFonts w:ascii="Times New Roman" w:hAnsi="Times New Roman" w:cs="Times New Roman"/>
          <w:sz w:val="28"/>
          <w:sz-cs w:val="28"/>
          <w:spacing w:val="0"/>
          <w:color w:val="0E0E0E"/>
        </w:rPr>
        <w:t xml:space="preserve"> seedling roots grown aboard the International Space Station (ISS) Veggie facility. However, the systems-level mechanisms coupling cell wall glycan remodeling to intracellular cytoskeletal transport machinery remain unresolved.</w:t>
      </w:r>
      <w:r>
        <w:rPr>
          <w:rFonts w:ascii="Times New Roman" w:hAnsi="Times New Roman" w:cs="Times New Roman"/>
          <w:sz w:val="28"/>
          <w:sz-cs w:val="28"/>
          <w:spacing w:val="0"/>
          <w:color w:val="0E0E0E"/>
        </w:rPr>
        <w:t xml:space="preserve"/>
      </w:r>
    </w:p>
    <w:p>
      <w:pPr>
        <w:jc w:val="both"/>
        <w:spacing w:after="266"/>
      </w:pPr>
      <w:r>
        <w:rPr>
          <w:rFonts w:ascii="Times New Roman" w:hAnsi="Times New Roman" w:cs="Times New Roman"/>
          <w:sz w:val="28"/>
          <w:sz-cs w:val="28"/>
          <w:b/>
          <w:spacing w:val="0"/>
          <w:color w:val="0E0E0E"/>
        </w:rPr>
        <w:t xml:space="preserve">Methods:</w:t>
      </w:r>
      <w:r>
        <w:rPr>
          <w:rFonts w:ascii="Times New Roman" w:hAnsi="Times New Roman" w:cs="Times New Roman"/>
          <w:sz w:val="28"/>
          <w:sz-cs w:val="28"/>
          <w:spacing w:val="0"/>
          <w:color w:val="0E0E0E"/>
        </w:rPr>
        <w:t xml:space="preserve"> Here, we present an integrative systems biology framework linking continuous glycomic epitope matrices from OSD-615 to companion spaceflight transcriptomics (APEX-03-2 / OSD-218 and OSD-217) and interactome topologies. We employed sparse Partial Least Squares (sPLS) regression, Weighted Gene Co-expression Network Analysis (WGCNA), and protein–protein interaction (PPI) network modeling (STRING/AraNet) to correlate 155 glycan epitope vectors with motor protein complexes (kinesins, myosins), microtubule-associated proteins (MAP65, SPR1, CLASP), actin-regulatory machinery (ARP2/3, formins, profilins), and cellulose synthase complexes (CSCs). Furthermore, we developed a dynamic stochastic Monte Carlo transport simulation of secretory vesicles under 1g vs microgravity, and evaluated mass spectrometry workflows for mapping intracellular O-GlcNAcylation on motor complexes.</w:t>
      </w:r>
      <w:r>
        <w:rPr>
          <w:rFonts w:ascii="Times New Roman" w:hAnsi="Times New Roman" w:cs="Times New Roman"/>
          <w:sz w:val="28"/>
          <w:sz-cs w:val="28"/>
          <w:spacing w:val="0"/>
          <w:color w:val="0E0E0E"/>
        </w:rPr>
        <w:t xml:space="preserve"/>
      </w:r>
    </w:p>
    <w:p>
      <w:pPr>
        <w:jc w:val="both"/>
        <w:spacing w:after="266"/>
      </w:pPr>
      <w:r>
        <w:rPr>
          <w:rFonts w:ascii="Times New Roman" w:hAnsi="Times New Roman" w:cs="Times New Roman"/>
          <w:sz w:val="28"/>
          <w:sz-cs w:val="28"/>
          <w:b/>
          <w:spacing w:val="0"/>
          <w:color w:val="0E0E0E"/>
        </w:rPr>
        <w:t xml:space="preserve">Results:</w:t>
      </w:r>
      <w:r>
        <w:rPr>
          <w:rFonts w:ascii="Times New Roman" w:hAnsi="Times New Roman" w:cs="Times New Roman"/>
          <w:sz w:val="28"/>
          <w:sz-cs w:val="28"/>
          <w:spacing w:val="0"/>
          <w:color w:val="0E0E0E"/>
        </w:rPr>
        <w:t xml:space="preserve"> Microgravity triggered significant alterations in cell wall glycomes, characterized by enhanced extractability of β-(1,4)-xylan epitopes (detected by CCRC-M138, CCRC-M139, CCRC-M140; +1.8 to +2.4 log2FC, p &lt; 0.01) and dynamic redistribution of arabinogalactan proteins (JIM13, JIM14) and xyloglucans (CCRC-M1, CCRC-M88). Multi-omics sPLS integration identified strong cross-correlations (|r| &gt; 0.75) between xylan epitope abundance and transcriptional activation of secondary wall cellulose synthases (</w:t>
      </w:r>
      <w:r>
        <w:rPr>
          <w:rFonts w:ascii="Times New Roman" w:hAnsi="Times New Roman" w:cs="Times New Roman"/>
          <w:sz w:val="28"/>
          <w:sz-cs w:val="28"/>
          <w:i/>
          <w:spacing w:val="0"/>
          <w:color w:val="0E0E0E"/>
        </w:rPr>
        <w:t xml:space="preserve">CESA4</w:t>
      </w:r>
      <w:r>
        <w:rPr>
          <w:rFonts w:ascii="Times New Roman" w:hAnsi="Times New Roman" w:cs="Times New Roman"/>
          <w:sz w:val="28"/>
          <w:sz-cs w:val="28"/>
          <w:spacing w:val="0"/>
          <w:color w:val="0E0E0E"/>
        </w:rPr>
        <w:t xml:space="preserve">, </w:t>
      </w:r>
      <w:r>
        <w:rPr>
          <w:rFonts w:ascii="Times New Roman" w:hAnsi="Times New Roman" w:cs="Times New Roman"/>
          <w:sz w:val="28"/>
          <w:sz-cs w:val="28"/>
          <w:i/>
          <w:spacing w:val="0"/>
          <w:color w:val="0E0E0E"/>
        </w:rPr>
        <w:t xml:space="preserve">CESA7</w:t>
      </w:r>
      <w:r>
        <w:rPr>
          <w:rFonts w:ascii="Times New Roman" w:hAnsi="Times New Roman" w:cs="Times New Roman"/>
          <w:sz w:val="28"/>
          <w:sz-cs w:val="28"/>
          <w:spacing w:val="0"/>
          <w:color w:val="0E0E0E"/>
        </w:rPr>
        <w:t xml:space="preserve">), glycosyltransferases (</w:t>
      </w:r>
      <w:r>
        <w:rPr>
          <w:rFonts w:ascii="Times New Roman" w:hAnsi="Times New Roman" w:cs="Times New Roman"/>
          <w:sz w:val="28"/>
          <w:sz-cs w:val="28"/>
          <w:i/>
          <w:spacing w:val="0"/>
          <w:color w:val="0E0E0E"/>
        </w:rPr>
        <w:t xml:space="preserve">IRX9</w:t>
      </w:r>
      <w:r>
        <w:rPr>
          <w:rFonts w:ascii="Times New Roman" w:hAnsi="Times New Roman" w:cs="Times New Roman"/>
          <w:sz w:val="28"/>
          <w:sz-cs w:val="28"/>
          <w:spacing w:val="0"/>
          <w:color w:val="0E0E0E"/>
        </w:rPr>
        <w:t xml:space="preserve">, </w:t>
      </w:r>
      <w:r>
        <w:rPr>
          <w:rFonts w:ascii="Times New Roman" w:hAnsi="Times New Roman" w:cs="Times New Roman"/>
          <w:sz w:val="28"/>
          <w:sz-cs w:val="28"/>
          <w:i/>
          <w:spacing w:val="0"/>
          <w:color w:val="0E0E0E"/>
        </w:rPr>
        <w:t xml:space="preserve">IRX10</w:t>
      </w:r>
      <w:r>
        <w:rPr>
          <w:rFonts w:ascii="Times New Roman" w:hAnsi="Times New Roman" w:cs="Times New Roman"/>
          <w:sz w:val="28"/>
          <w:sz-cs w:val="28"/>
          <w:spacing w:val="0"/>
          <w:color w:val="0E0E0E"/>
        </w:rPr>
        <w:t xml:space="preserve">), and motor components (</w:t>
      </w:r>
      <w:r>
        <w:rPr>
          <w:rFonts w:ascii="Times New Roman" w:hAnsi="Times New Roman" w:cs="Times New Roman"/>
          <w:sz w:val="28"/>
          <w:sz-cs w:val="28"/>
          <w:i/>
          <w:spacing w:val="0"/>
          <w:color w:val="0E0E0E"/>
        </w:rPr>
        <w:t xml:space="preserve">KIN12A</w:t>
      </w:r>
      <w:r>
        <w:rPr>
          <w:rFonts w:ascii="Times New Roman" w:hAnsi="Times New Roman" w:cs="Times New Roman"/>
          <w:sz w:val="28"/>
          <w:sz-cs w:val="28"/>
          <w:spacing w:val="0"/>
          <w:color w:val="0E0E0E"/>
        </w:rPr>
        <w:t xml:space="preserve">, </w:t>
      </w:r>
      <w:r>
        <w:rPr>
          <w:rFonts w:ascii="Times New Roman" w:hAnsi="Times New Roman" w:cs="Times New Roman"/>
          <w:sz w:val="28"/>
          <w:sz-cs w:val="28"/>
          <w:i/>
          <w:spacing w:val="0"/>
          <w:color w:val="0E0E0E"/>
        </w:rPr>
        <w:t xml:space="preserve">MYA1</w:t>
      </w:r>
      <w:r>
        <w:rPr>
          <w:rFonts w:ascii="Times New Roman" w:hAnsi="Times New Roman" w:cs="Times New Roman"/>
          <w:sz w:val="28"/>
          <w:sz-cs w:val="28"/>
          <w:spacing w:val="0"/>
          <w:color w:val="0E0E0E"/>
        </w:rPr>
        <w:t xml:space="preserve">). Stochastic simulations demonstrated that microgravity-induced cortical microtubule disorientation and actin cable fragmentation decrease vesicle arrival efficiency at the cell plate by 28.1%, directly altering matrix polysaccharide deposition rates.</w:t>
      </w:r>
      <w:r>
        <w:rPr>
          <w:rFonts w:ascii="Times New Roman" w:hAnsi="Times New Roman" w:cs="Times New Roman"/>
          <w:sz w:val="28"/>
          <w:sz-cs w:val="28"/>
          <w:spacing w:val="0"/>
          <w:color w:val="0E0E0E"/>
        </w:rPr>
        <w:t xml:space="preserve"/>
      </w:r>
    </w:p>
    <w:p>
      <w:pPr>
        <w:jc w:val="both"/>
        <w:spacing w:after="266"/>
      </w:pPr>
      <w:r>
        <w:rPr>
          <w:rFonts w:ascii="Times New Roman" w:hAnsi="Times New Roman" w:cs="Times New Roman"/>
          <w:sz w:val="28"/>
          <w:sz-cs w:val="28"/>
          <w:b/>
          <w:spacing w:val="0"/>
          <w:color w:val="0E0E0E"/>
        </w:rPr>
        <w:t xml:space="preserve">Conclusion:</w:t>
      </w:r>
      <w:r>
        <w:rPr>
          <w:rFonts w:ascii="Times New Roman" w:hAnsi="Times New Roman" w:cs="Times New Roman"/>
          <w:sz w:val="28"/>
          <w:sz-cs w:val="28"/>
          <w:spacing w:val="0"/>
          <w:color w:val="0E0E0E"/>
        </w:rPr>
        <w:t xml:space="preserve"> These findings establish that microgravity-induced cell wall remodeling is mechanistically coupled to cytoskeletal motor dynamics and vesicular trafficking. We provide a FAIR-compliant open-access research repository, including an interactive 10-tab web dashboard, reproducible analysis pipelines, and full data dictionaries to support space agricultural engineering for extended lunar and Martian missions.</w:t>
      </w:r>
      <w:r>
        <w:rPr>
          <w:rFonts w:ascii="Times New Roman" w:hAnsi="Times New Roman" w:cs="Times New Roman"/>
          <w:sz w:val="28"/>
          <w:sz-cs w:val="28"/>
          <w:spacing w:val="0"/>
          <w:color w:val="0E0E0E"/>
        </w:rPr>
        <w:t xml:space="preserve"/>
      </w:r>
    </w:p>
    <w:p>
      <w:pPr>
        <w:spacing w:after="266"/>
      </w:pPr>
      <w:r>
        <w:rPr>
          <w:rFonts w:ascii="Arial" w:hAnsi="Arial" w:cs="Arial"/>
          <w:sz w:val="37"/>
          <w:sz-cs w:val="37"/>
          <w:b/>
          <w:spacing w:val="0"/>
          <w:color w:val="073B60"/>
        </w:rPr>
        <w:t xml:space="preserve">1. Introduction</w:t>
      </w:r>
    </w:p>
    <w:p>
      <w:pPr>
        <w:jc w:val="both"/>
        <w:spacing w:after="266"/>
      </w:pPr>
      <w:r>
        <w:rPr>
          <w:rFonts w:ascii="Times New Roman" w:hAnsi="Times New Roman" w:cs="Times New Roman"/>
          <w:sz w:val="29"/>
          <w:sz-cs w:val="29"/>
          <w:spacing w:val="0"/>
          <w:color w:val="0E0E0E"/>
        </w:rPr>
        <w:t xml:space="preserve">Plants evolved under an invariant 1</w:t>
      </w:r>
      <w:r>
        <w:rPr>
          <w:rFonts w:ascii="Times New Roman" w:hAnsi="Times New Roman" w:cs="Times New Roman"/>
          <w:sz w:val="29"/>
          <w:sz-cs w:val="29"/>
          <w:i/>
          <w:spacing w:val="0"/>
          <w:color w:val="0E0E0E"/>
        </w:rPr>
        <w:t xml:space="preserve">g</w:t>
      </w:r>
      <w:r>
        <w:rPr>
          <w:rFonts w:ascii="Times New Roman" w:hAnsi="Times New Roman" w:cs="Times New Roman"/>
          <w:sz w:val="29"/>
          <w:sz-cs w:val="29"/>
          <w:spacing w:val="0"/>
          <w:color w:val="0E0E0E"/>
        </w:rPr>
        <w:t xml:space="preserve"> gravitational vector on Earth, utilizing gravity as a primary cue for directional growth, mechanical reinforcement, and cellular morphogenesis. In the microgravity environment of low Earth orbit (LEO), such as aboard the International Space Station (ISS), the absence of sedimentation forces fundamentally disrupts cellular mechanics, triggering extensive transcriptional reprogramming, cytoskeletal reorganization, and cell wall remodeling.</w:t>
      </w:r>
    </w:p>
    <w:p>
      <w:pPr>
        <w:jc w:val="both"/>
        <w:spacing w:after="266"/>
      </w:pPr>
      <w:r>
        <w:rPr>
          <w:rFonts w:ascii="Times New Roman" w:hAnsi="Times New Roman" w:cs="Times New Roman"/>
          <w:sz w:val="29"/>
          <w:sz-cs w:val="29"/>
          <w:spacing w:val="0"/>
          <w:color w:val="0E0E0E"/>
        </w:rPr>
        <w:t xml:space="preserve">The plant cell wall is a dynamic, complex extracellular matrix composed of cellulose microfibrils embedded in an amorphous ground substance of non-cellulosic matrix polysaccharides (xyloglucans, xylans, mannans, pectins) and structural glycoproteins, including arabinogalactan proteins (AGPs) and extensins. In growing root tissues, cell wall loosening, matrix synthesis, and directional expansion require continuous physical coordination between the intracellular cytoskeleton and extracellular polysaccharide deposition.</w:t>
      </w:r>
    </w:p>
    <w:p>
      <w:pPr>
        <w:spacing w:after="160"/>
      </w:pPr>
      <w:r>
        <w:rPr>
          <w:rFonts w:ascii="Arial" w:hAnsi="Arial" w:cs="Arial"/>
          <w:sz w:val="32"/>
          <w:sz-cs w:val="32"/>
          <w:b/>
          <w:spacing w:val="0"/>
          <w:color w:val="244672"/>
        </w:rPr>
        <w:t xml:space="preserve">The Cytoskeleton–Secretory Vesicle Transport Nexus</w:t>
      </w:r>
    </w:p>
    <w:p>
      <w:pPr>
        <w:jc w:val="both"/>
        <w:spacing w:after="266"/>
      </w:pPr>
      <w:r>
        <w:rPr>
          <w:rFonts w:ascii="Times New Roman" w:hAnsi="Times New Roman" w:cs="Times New Roman"/>
          <w:sz w:val="29"/>
          <w:sz-cs w:val="29"/>
          <w:spacing w:val="0"/>
          <w:color w:val="0E0E0E"/>
        </w:rPr>
        <w:t xml:space="preserve">In plant cells, long-range cytoplasmic streaming and post-Golgi vesicle trafficking are driven primarily by class XI myosin motors moving along filamentous actin (F-actin) cables. Concurrently, cortical microtubules (CMTs) directly govern the trajectory and insertion of cellulose synthase complexes (CSCs) into the plasma membrane via Cellulose Synthase Interactive 1 (CSI1/POM2) linkers. Furthermore, kinesin motor proteins (such as Kinesin-4/FRA1 and Kinesin-12/PAKRP1) operate along microtubule arrays during cell division, phragmoplast expansion, and secondary cell wall patterning, guiding secretory vesicles containing matrix polysaccharides and wall-modifying enzymes to target membrane domains.</w:t>
      </w:r>
    </w:p>
    <w:p>
      <w:pPr>
        <w:jc w:val="both"/>
        <w:spacing w:after="266"/>
      </w:pPr>
      <w:r>
        <w:rPr>
          <w:rFonts w:ascii="Times New Roman" w:hAnsi="Times New Roman" w:cs="Times New Roman"/>
          <w:sz w:val="29"/>
          <w:sz-cs w:val="29"/>
          <w:spacing w:val="0"/>
          <w:color w:val="0E0E0E"/>
        </w:rPr>
        <w:t xml:space="preserve">When plants experience microgravity, cortical microtubule arrays frequently lose transverse alignment and become disoriented, while actin filaments exhibit altered bundling and aggregation. This cytoskeletal disruption impairs the directional delivery of Golgi-derived matrix vesicles, resulting in aberrant cell wall assembly, altered wall elasticity, and root growth skewing.</w:t>
      </w:r>
    </w:p>
    <w:p>
      <w:pPr>
        <w:spacing w:after="160"/>
      </w:pPr>
      <w:r>
        <w:rPr>
          <w:rFonts w:ascii="Arial" w:hAnsi="Arial" w:cs="Arial"/>
          <w:sz w:val="32"/>
          <w:sz-cs w:val="32"/>
          <w:b/>
          <w:spacing w:val="0"/>
          <w:color w:val="244672"/>
        </w:rPr>
        <w:t xml:space="preserve">Coupling Across Biochemical Axes: Intracellular Glycosylation vs. Cell-Surface Glycoproteomics</w:t>
      </w:r>
    </w:p>
    <w:p>
      <w:pPr>
        <w:jc w:val="both"/>
        <w:spacing w:after="266"/>
      </w:pPr>
      <w:r>
        <w:rPr>
          <w:rFonts w:ascii="Times New Roman" w:hAnsi="Times New Roman" w:cs="Times New Roman"/>
          <w:sz w:val="29"/>
          <w:sz-cs w:val="29"/>
          <w:spacing w:val="0"/>
          <w:color w:val="0E0E0E"/>
        </w:rPr>
        <w:t xml:space="preserve">The functional connection between glycans and cytoskeletal machinery operates across two primary biochemical axes:</w:t>
      </w:r>
    </w:p>
    <w:p>
      <w:pPr>
        <w:ind w:left="720" w:first-line="-720"/>
      </w:pPr>
      <w:r>
        <w:rPr>
          <w:rFonts w:ascii="Times New Roman" w:hAnsi="Times New Roman" w:cs="Times New Roman"/>
          <w:sz w:val="29"/>
          <w:sz-cs w:val="29"/>
          <w:b/>
          <w:color w:val="0E0E0E"/>
        </w:rPr>
        <w:t xml:space="preserve"/>
        <w:tab/>
        <w:t xml:space="preserve">1</w:t>
        <w:tab/>
        <w:t xml:space="preserve"/>
      </w:r>
      <w:r>
        <w:rPr>
          <w:rFonts w:ascii="Times New Roman" w:hAnsi="Times New Roman" w:cs="Times New Roman"/>
          <w:sz w:val="29"/>
          <w:sz-cs w:val="29"/>
          <w:b/>
          <w:spacing w:val="0"/>
          <w:color w:val="0E0E0E"/>
        </w:rPr>
        <w:t xml:space="preserve">Direct Intracellular Glycosylation (O-GlcNAcylation):</w:t>
      </w:r>
      <w:r>
        <w:rPr>
          <w:rFonts w:ascii="Times New Roman" w:hAnsi="Times New Roman" w:cs="Times New Roman"/>
          <w:sz w:val="29"/>
          <w:sz-cs w:val="29"/>
          <w:spacing w:val="0"/>
          <w:color w:val="0E0E0E"/>
        </w:rPr>
        <w:t xml:space="preserve"> Unlike classical cell-surface complex glycans, dynamic intracellular </w:t>
      </w:r>
      <w:r>
        <w:rPr>
          <w:rFonts w:ascii="Times New Roman" w:hAnsi="Times New Roman" w:cs="Times New Roman"/>
          <w:sz w:val="29"/>
          <w:sz-cs w:val="29"/>
          <w:i/>
          <w:spacing w:val="0"/>
          <w:color w:val="0E0E0E"/>
        </w:rPr>
        <w:t xml:space="preserve">O</w:t>
      </w:r>
      <w:r>
        <w:rPr>
          <w:rFonts w:ascii="Times New Roman" w:hAnsi="Times New Roman" w:cs="Times New Roman"/>
          <w:sz w:val="29"/>
          <w:sz-cs w:val="29"/>
          <w:spacing w:val="0"/>
          <w:color w:val="0E0E0E"/>
        </w:rPr>
        <w:t xml:space="preserve">-linked β-</w:t>
      </w:r>
      <w:r>
        <w:rPr>
          <w:rFonts w:ascii="Times New Roman" w:hAnsi="Times New Roman" w:cs="Times New Roman"/>
          <w:sz w:val="29"/>
          <w:sz-cs w:val="29"/>
          <w:i/>
          <w:spacing w:val="0"/>
          <w:color w:val="0E0E0E"/>
        </w:rPr>
        <w:t xml:space="preserve">N</w:t>
      </w:r>
      <w:r>
        <w:rPr>
          <w:rFonts w:ascii="Times New Roman" w:hAnsi="Times New Roman" w:cs="Times New Roman"/>
          <w:sz w:val="29"/>
          <w:sz-cs w:val="29"/>
          <w:spacing w:val="0"/>
          <w:color w:val="0E0E0E"/>
        </w:rPr>
        <w:t xml:space="preserve">-acetylglucosamine (</w:t>
      </w:r>
      <w:r>
        <w:rPr>
          <w:rFonts w:ascii="Times New Roman" w:hAnsi="Times New Roman" w:cs="Times New Roman"/>
          <w:sz w:val="29"/>
          <w:sz-cs w:val="29"/>
          <w:i/>
          <w:spacing w:val="0"/>
          <w:color w:val="0E0E0E"/>
        </w:rPr>
        <w:t xml:space="preserve">O</w:t>
      </w:r>
      <w:r>
        <w:rPr>
          <w:rFonts w:ascii="Times New Roman" w:hAnsi="Times New Roman" w:cs="Times New Roman"/>
          <w:sz w:val="29"/>
          <w:sz-cs w:val="29"/>
          <w:spacing w:val="0"/>
          <w:color w:val="0E0E0E"/>
        </w:rPr>
        <w:t xml:space="preserve">-GlcNAc) directly modifies nuclear and cytosolic proteins, competing with Ser/Thr phosphorylation. Actin monomers, myosins, and regulatory proteins (α-actinin, fascin, cofilin) undergo dynamic </w:t>
      </w:r>
      <w:r>
        <w:rPr>
          <w:rFonts w:ascii="Times New Roman" w:hAnsi="Times New Roman" w:cs="Times New Roman"/>
          <w:sz w:val="29"/>
          <w:sz-cs w:val="29"/>
          <w:i/>
          <w:spacing w:val="0"/>
          <w:color w:val="0E0E0E"/>
        </w:rPr>
        <w:t xml:space="preserve">O</w:t>
      </w:r>
      <w:r>
        <w:rPr>
          <w:rFonts w:ascii="Times New Roman" w:hAnsi="Times New Roman" w:cs="Times New Roman"/>
          <w:sz w:val="29"/>
          <w:sz-cs w:val="29"/>
          <w:spacing w:val="0"/>
          <w:color w:val="0E0E0E"/>
        </w:rPr>
        <w:t xml:space="preserve">-GlcNAcylation, regulating actin polymerization, stress fiber assembly, and motor kinetics. Similarly, tubulin, dynein intermediate/light chains, dynactin p150</w:t>
      </w:r>
      <w:r>
        <w:rPr>
          <w:rFonts w:ascii="Times New Roman" w:hAnsi="Times New Roman" w:cs="Times New Roman"/>
          <w:sz w:val="24"/>
          <w:sz-cs w:val="24"/>
          <w:vertAlign w:val="superscript"/>
          <w:spacing w:val="0"/>
          <w:color w:val="0E0E0E"/>
        </w:rPr>
        <w:t xml:space="preserve">Glued</w:t>
      </w:r>
      <w:r>
        <w:rPr>
          <w:rFonts w:ascii="Times New Roman" w:hAnsi="Times New Roman" w:cs="Times New Roman"/>
          <w:sz w:val="29"/>
          <w:sz-cs w:val="29"/>
          <w:spacing w:val="0"/>
          <w:color w:val="0E0E0E"/>
        </w:rPr>
        <w:t xml:space="preserve">, and kinesin stalk domains are targets of </w:t>
      </w:r>
      <w:r>
        <w:rPr>
          <w:rFonts w:ascii="Times New Roman" w:hAnsi="Times New Roman" w:cs="Times New Roman"/>
          <w:sz w:val="29"/>
          <w:sz-cs w:val="29"/>
          <w:i/>
          <w:spacing w:val="0"/>
          <w:color w:val="0E0E0E"/>
        </w:rPr>
        <w:t xml:space="preserve">O</w:t>
      </w:r>
      <w:r>
        <w:rPr>
          <w:rFonts w:ascii="Times New Roman" w:hAnsi="Times New Roman" w:cs="Times New Roman"/>
          <w:sz w:val="29"/>
          <w:sz-cs w:val="29"/>
          <w:spacing w:val="0"/>
          <w:color w:val="0E0E0E"/>
        </w:rPr>
        <w:t xml:space="preserve">-GlcNAc transferase (OGT in animals; SEC/SPY in plants).</w:t>
      </w:r>
    </w:p>
    <w:p>
      <w:pPr>
        <w:ind w:left="720" w:first-line="-720"/>
      </w:pPr>
      <w:r>
        <w:rPr>
          <w:rFonts w:ascii="Times New Roman" w:hAnsi="Times New Roman" w:cs="Times New Roman"/>
          <w:sz w:val="29"/>
          <w:sz-cs w:val="29"/>
          <w:b/>
          <w:color w:val="0E0E0E"/>
        </w:rPr>
        <w:t xml:space="preserve"/>
        <w:tab/>
        <w:t xml:space="preserve">2</w:t>
        <w:tab/>
        <w:t xml:space="preserve"/>
      </w:r>
      <w:r>
        <w:rPr>
          <w:rFonts w:ascii="Times New Roman" w:hAnsi="Times New Roman" w:cs="Times New Roman"/>
          <w:sz w:val="29"/>
          <w:sz-cs w:val="29"/>
          <w:b/>
          <w:spacing w:val="0"/>
          <w:color w:val="0E0E0E"/>
        </w:rPr>
        <w:t xml:space="preserve">Secretory and Extracellular Glycome Coupling:</w:t>
      </w:r>
      <w:r>
        <w:rPr>
          <w:rFonts w:ascii="Times New Roman" w:hAnsi="Times New Roman" w:cs="Times New Roman"/>
          <w:sz w:val="29"/>
          <w:sz-cs w:val="29"/>
          <w:spacing w:val="0"/>
          <w:color w:val="0E0E0E"/>
        </w:rPr>
        <w:t xml:space="preserve"> Secretory vesicles transport newly synthesized matrix polysaccharides (xyloglucans, xylans, pectins) and glycoproteins (AGPs) from the Golgi apparatus to the apoplast. Cell-surface glycoproteins physically interact with the extracellular matrix, transmitting mechanical forces across the plasma membrane to subcortical actin cables and cortical microtubules.</w:t>
      </w:r>
    </w:p>
    <w:p>
      <w:pPr>
        <w:jc w:val="both"/>
        <w:spacing w:after="266"/>
      </w:pPr>
      <w:r>
        <w:rPr>
          <w:rFonts w:ascii="Times New Roman" w:hAnsi="Times New Roman" w:cs="Times New Roman"/>
          <w:sz w:val="29"/>
          <w:sz-cs w:val="29"/>
          <w:spacing w:val="0"/>
          <w:color w:val="0E0E0E"/>
        </w:rPr>
        <w:t xml:space="preserve"/>
      </w:r>
    </w:p>
    <w:p>
      <w:pPr>
        <w:spacing w:after="266"/>
      </w:pPr>
      <w:r>
        <w:rPr>
          <w:rFonts w:ascii="Arial" w:hAnsi="Arial" w:cs="Arial"/>
          <w:sz w:val="37"/>
          <w:sz-cs w:val="37"/>
          <w:b/>
          <w:spacing w:val="0"/>
          <w:color w:val="073B60"/>
        </w:rPr>
        <w:t xml:space="preserve">2. Methods &amp; Computational Workflows</w:t>
      </w:r>
    </w:p>
    <w:p>
      <w:pPr>
        <w:jc w:val="both"/>
        <w:spacing w:after="266"/>
      </w:pPr>
      <w:r>
        <w:rPr>
          <w:rFonts w:ascii="Times New Roman" w:hAnsi="Times New Roman" w:cs="Times New Roman"/>
          <w:sz w:val="29"/>
          <w:sz-cs w:val="29"/>
          <w:spacing w:val="0"/>
          <w:color w:val="0E0E0E"/>
        </w:rPr>
        <w:t xml:space="preserve">Data for this study were acquired from the NASA Open Science Data Repository (OSDR / GeneLab platform; </w:t>
      </w:r>
      <w:r>
        <w:rPr>
          <w:rFonts w:ascii="Times New Roman" w:hAnsi="Times New Roman" w:cs="Times New Roman"/>
          <w:sz w:val="29"/>
          <w:sz-cs w:val="29"/>
          <w:u w:val="single"/>
          <w:spacing w:val="0"/>
          <w:color w:val="0000E9"/>
        </w:rPr>
        <w:t xml:space="preserve">https://osdr.nasa.gov</w:t>
      </w:r>
      <w:r>
        <w:rPr>
          <w:rFonts w:ascii="Times New Roman" w:hAnsi="Times New Roman" w:cs="Times New Roman"/>
          <w:sz w:val="29"/>
          <w:sz-cs w:val="29"/>
          <w:spacing w:val="0"/>
          <w:color w:val="0E0E0E"/>
        </w:rPr>
        <w:t xml:space="preserve">). We integrated the transformed OSD-615 ELISA dataset (12 root samples: 3 biological replicates × 2 conditions [Space vs Ground] × 2 growth timepoints [6d vs 11d post-activation]) across 155 monoclonal antibodies annotated by CCRC carbohydrate-binding specificities.</w:t>
      </w:r>
    </w:p>
    <w:p>
      <w:pPr>
        <w:jc w:val="both"/>
        <w:spacing w:after="266"/>
      </w:pPr>
      <w:r>
        <w:rPr>
          <w:rFonts w:ascii="Times New Roman" w:hAnsi="Times New Roman" w:cs="Times New Roman"/>
          <w:sz w:val="29"/>
          <w:sz-cs w:val="29"/>
          <w:spacing w:val="0"/>
          <w:color w:val="0E0E0E"/>
        </w:rPr>
        <w:t xml:space="preserve">Multi-omics integration was executed using sparse Partial Least Squares (sPLS) regression within the mixOmics framework, correlating the continuous glycomics block (155 mAbs) with curated spaceflight transcriptomic profiles from companion Veggie experiments (APEX-03-2 / OSD-218 and OSD-217). Protein–protein interaction (PPI) networks were reconstructed using STRING v11.5 (species taxon 3702 for </w:t>
      </w:r>
      <w:r>
        <w:rPr>
          <w:rFonts w:ascii="Times New Roman" w:hAnsi="Times New Roman" w:cs="Times New Roman"/>
          <w:sz w:val="29"/>
          <w:sz-cs w:val="29"/>
          <w:i/>
          <w:spacing w:val="0"/>
          <w:color w:val="0E0E0E"/>
        </w:rPr>
        <w:t xml:space="preserve">Arabidopsis thaliana</w:t>
      </w:r>
      <w:r>
        <w:rPr>
          <w:rFonts w:ascii="Times New Roman" w:hAnsi="Times New Roman" w:cs="Times New Roman"/>
          <w:sz w:val="29"/>
          <w:sz-cs w:val="29"/>
          <w:spacing w:val="0"/>
          <w:color w:val="0E0E0E"/>
        </w:rPr>
        <w:t xml:space="preserve">) and AraNet v2. Stochastic Monte Carlo simulations (1,000 vesicles over 300 seconds) quantified post-Golgi vesicle transit kinetics under 1</w:t>
      </w:r>
      <w:r>
        <w:rPr>
          <w:rFonts w:ascii="Times New Roman" w:hAnsi="Times New Roman" w:cs="Times New Roman"/>
          <w:sz w:val="29"/>
          <w:sz-cs w:val="29"/>
          <w:i/>
          <w:spacing w:val="0"/>
          <w:color w:val="0E0E0E"/>
        </w:rPr>
        <w:t xml:space="preserve">g</w:t>
      </w:r>
      <w:r>
        <w:rPr>
          <w:rFonts w:ascii="Times New Roman" w:hAnsi="Times New Roman" w:cs="Times New Roman"/>
          <w:sz w:val="29"/>
          <w:sz-cs w:val="29"/>
          <w:spacing w:val="0"/>
          <w:color w:val="0E0E0E"/>
        </w:rPr>
        <w:t xml:space="preserve"> Ground vs 0</w:t>
      </w:r>
      <w:r>
        <w:rPr>
          <w:rFonts w:ascii="Times New Roman" w:hAnsi="Times New Roman" w:cs="Times New Roman"/>
          <w:sz w:val="29"/>
          <w:sz-cs w:val="29"/>
          <w:i/>
          <w:spacing w:val="0"/>
          <w:color w:val="0E0E0E"/>
        </w:rPr>
        <w:t xml:space="preserve">g</w:t>
      </w:r>
      <w:r>
        <w:rPr>
          <w:rFonts w:ascii="Times New Roman" w:hAnsi="Times New Roman" w:cs="Times New Roman"/>
          <w:sz w:val="29"/>
          <w:sz-cs w:val="29"/>
          <w:spacing w:val="0"/>
          <w:color w:val="0E0E0E"/>
        </w:rPr>
        <w:t xml:space="preserve"> Microgravity parameters.</w:t>
      </w:r>
    </w:p>
    <w:p>
      <w:pPr>
        <w:spacing w:after="266"/>
      </w:pPr>
      <w:r>
        <w:rPr>
          <w:rFonts w:ascii="Arial" w:hAnsi="Arial" w:cs="Arial"/>
          <w:sz w:val="37"/>
          <w:sz-cs w:val="37"/>
          <w:b/>
          <w:spacing w:val="0"/>
          <w:color w:val="073B60"/>
        </w:rPr>
        <w:t xml:space="preserve">3. Results</w:t>
      </w:r>
    </w:p>
    <w:p>
      <w:pPr>
        <w:spacing w:after="160"/>
      </w:pPr>
      <w:r>
        <w:rPr>
          <w:rFonts w:ascii="Arial" w:hAnsi="Arial" w:cs="Arial"/>
          <w:sz w:val="32"/>
          <w:sz-cs w:val="32"/>
          <w:b/>
          <w:spacing w:val="0"/>
          <w:color w:val="244672"/>
        </w:rPr>
        <w:t xml:space="preserve">3.1 Global Glycome Remodeling in Spaceflight Roots</w:t>
      </w:r>
    </w:p>
    <w:p>
      <w:pPr>
        <w:jc w:val="both"/>
        <w:spacing w:after="266"/>
      </w:pPr>
      <w:r>
        <w:rPr>
          <w:rFonts w:ascii="Times New Roman" w:hAnsi="Times New Roman" w:cs="Times New Roman"/>
          <w:sz w:val="29"/>
          <w:sz-cs w:val="29"/>
          <w:spacing w:val="0"/>
          <w:color w:val="0E0E0E"/>
        </w:rPr>
        <w:t xml:space="preserve">Hierarchical clustering of 155 monoclonal antibodies across the 12 Arabidopsis root samples revealed global differences in non-cellulosic cell wall epitopes between spaceflight-grown and ground-control roots (Figure 1). Principal Component Analysis resolved flight vs ground along PC1 (38.4% variance explained) and developmental age (6d vs 11d) along PC2 (21.6% variance explained; Figure 2a).</w:t>
      </w:r>
    </w:p>
    <w:p>
      <w:pPr>
        <w:jc w:val="center"/>
      </w:pPr>
      <w:r>
        <w:rPr>
          <w:rFonts w:ascii="Times New Roman" w:hAnsi="Times New Roman" w:cs="Times New Roman"/>
          <w:sz w:val="29"/>
          <w:sz-cs w:val="29"/>
          <w:spacing w:val="0"/>
          <w:color w:val="0E0E0E"/>
        </w:rPr>
        <w:t xml:space="preserve"/>
      </w:r>
      <w:r>
        <w:rPr>
          <w:rFonts w:ascii="Times New Roman" w:hAnsi="Times New Roman" w:cs="Times New Roman"/>
          <w:sz w:val="25"/>
          <w:sz-cs w:val="25"/>
          <w:spacing w:val="0"/>
          <w:color w:val="262626"/>
        </w:rPr>
        <w:t xml:space="preserve"/>
      </w:r>
    </w:p>
    <w:p>
      <w:pPr>
        <w:jc w:val="both"/>
      </w:pPr>
      <w:r>
        <w:rPr>
          <w:rFonts w:ascii="Times New Roman" w:hAnsi="Times New Roman" w:cs="Times New Roman"/>
          <w:sz w:val="25"/>
          <w:sz-cs w:val="25"/>
          <w:b/>
          <w:spacing w:val="0"/>
          <w:color w:val="073B60"/>
        </w:rPr>
        <w:t xml:space="preserve">Figure 1 | Global Glycome Profiling of </w:t>
      </w:r>
      <w:r>
        <w:rPr>
          <w:rFonts w:ascii="Times New Roman" w:hAnsi="Times New Roman" w:cs="Times New Roman"/>
          <w:sz w:val="25"/>
          <w:sz-cs w:val="25"/>
          <w:b/>
          <w:i/>
          <w:spacing w:val="0"/>
          <w:color w:val="073B60"/>
        </w:rPr>
        <w:t xml:space="preserve">Arabidopsis thaliana</w:t>
      </w:r>
      <w:r>
        <w:rPr>
          <w:rFonts w:ascii="Times New Roman" w:hAnsi="Times New Roman" w:cs="Times New Roman"/>
          <w:sz w:val="25"/>
          <w:sz-cs w:val="25"/>
          <w:b/>
          <w:spacing w:val="0"/>
          <w:color w:val="073B60"/>
        </w:rPr>
        <w:t xml:space="preserve"> Roots in Spaceflight (NASA OSD-615 / APEX-03-1).</w:t>
      </w:r>
      <w:r>
        <w:rPr>
          <w:rFonts w:ascii="Times New Roman" w:hAnsi="Times New Roman" w:cs="Times New Roman"/>
          <w:sz w:val="25"/>
          <w:sz-cs w:val="25"/>
          <w:spacing w:val="0"/>
          <w:color w:val="262626"/>
        </w:rPr>
        <w:t xml:space="preserve"> Hierarchical clustering of 155 monoclonal antibody binding intensities ($OD_{450}$) across 12 biological root samples (Ground vs Spaceflight; 6-day vs 11-day). Row colors denote CCRC polysaccharide clades (xyloglucans, xylans, HG pectins, RG-I/arabinans/galactans, AGPs, extensins); column colors denote spaceflight condition.</w:t>
      </w:r>
    </w:p>
    <w:p>
      <w:pPr>
        <w:jc w:val="center"/>
      </w:pPr>
      <w:r>
        <w:rPr>
          <w:rFonts w:ascii="Times New Roman" w:hAnsi="Times New Roman" w:cs="Times New Roman"/>
          <w:sz w:val="29"/>
          <w:sz-cs w:val="29"/>
          <w:spacing w:val="0"/>
          <w:color w:val="0E0E0E"/>
        </w:rPr>
        <w:t xml:space="preserve"/>
      </w:r>
      <w:r>
        <w:rPr>
          <w:rFonts w:ascii="Times New Roman" w:hAnsi="Times New Roman" w:cs="Times New Roman"/>
          <w:sz w:val="29"/>
          <w:sz-cs w:val="29"/>
          <w:spacing w:val="0"/>
          <w:color w:val="0E0E0E"/>
        </w:rPr>
        <w:t xml:space="preserve"> </w:t>
      </w:r>
      <w:r>
        <w:rPr>
          <w:rFonts w:ascii="Times New Roman" w:hAnsi="Times New Roman" w:cs="Times New Roman"/>
          <w:sz w:val="29"/>
          <w:sz-cs w:val="29"/>
          <w:spacing w:val="0"/>
          <w:color w:val="0E0E0E"/>
        </w:rPr>
        <w:t xml:space="preserve"/>
      </w:r>
      <w:r>
        <w:rPr>
          <w:rFonts w:ascii="Times New Roman" w:hAnsi="Times New Roman" w:cs="Times New Roman"/>
          <w:sz w:val="25"/>
          <w:sz-cs w:val="25"/>
          <w:spacing w:val="0"/>
          <w:color w:val="262626"/>
        </w:rPr>
        <w:t xml:space="preserve"/>
      </w:r>
    </w:p>
    <w:p>
      <w:pPr>
        <w:jc w:val="both"/>
      </w:pPr>
      <w:r>
        <w:rPr>
          <w:rFonts w:ascii="Times New Roman" w:hAnsi="Times New Roman" w:cs="Times New Roman"/>
          <w:sz w:val="25"/>
          <w:sz-cs w:val="25"/>
          <w:b/>
          <w:spacing w:val="0"/>
          <w:color w:val="073B60"/>
        </w:rPr>
        <w:t xml:space="preserve">Figure 2 | Multivariate and Differential Glycomic Profiling.</w:t>
      </w:r>
      <w:r>
        <w:rPr>
          <w:rFonts w:ascii="Times New Roman" w:hAnsi="Times New Roman" w:cs="Times New Roman"/>
          <w:sz w:val="25"/>
          <w:sz-cs w:val="25"/>
          <w:spacing w:val="0"/>
          <w:color w:val="262626"/>
        </w:rPr>
        <w:t xml:space="preserve"> </w:t>
      </w:r>
      <w:r>
        <w:rPr>
          <w:rFonts w:ascii="Times New Roman" w:hAnsi="Times New Roman" w:cs="Times New Roman"/>
          <w:sz w:val="25"/>
          <w:sz-cs w:val="25"/>
          <w:b/>
          <w:spacing w:val="0"/>
          <w:color w:val="073B60"/>
        </w:rPr>
        <w:t xml:space="preserve">a</w:t>
      </w:r>
      <w:r>
        <w:rPr>
          <w:rFonts w:ascii="Times New Roman" w:hAnsi="Times New Roman" w:cs="Times New Roman"/>
          <w:sz w:val="25"/>
          <w:sz-cs w:val="25"/>
          <w:spacing w:val="0"/>
          <w:color w:val="262626"/>
        </w:rPr>
        <w:t xml:space="preserve">, Principal Component Analysis (PCA) biplot of 12 root samples across 155 mAb variables. </w:t>
      </w:r>
      <w:r>
        <w:rPr>
          <w:rFonts w:ascii="Times New Roman" w:hAnsi="Times New Roman" w:cs="Times New Roman"/>
          <w:sz w:val="25"/>
          <w:sz-cs w:val="25"/>
          <w:b/>
          <w:spacing w:val="0"/>
          <w:color w:val="073B60"/>
        </w:rPr>
        <w:t xml:space="preserve">b</w:t>
      </w:r>
      <w:r>
        <w:rPr>
          <w:rFonts w:ascii="Times New Roman" w:hAnsi="Times New Roman" w:cs="Times New Roman"/>
          <w:sz w:val="25"/>
          <w:sz-cs w:val="25"/>
          <w:spacing w:val="0"/>
          <w:color w:val="262626"/>
        </w:rPr>
        <w:t xml:space="preserve">, Volcano plot depicting $\log_2$ fold change (Spaceflight / Ground) vs. $-\log_{10}(p ext{-value})$ for all 155 mAbs, highlighting significant xylan and AGP epitope shifts.</w:t>
      </w:r>
    </w:p>
    <w:p>
      <w:pPr>
        <w:jc w:val="center"/>
      </w:pPr>
      <w:r>
        <w:rPr>
          <w:rFonts w:ascii="Times New Roman" w:hAnsi="Times New Roman" w:cs="Times New Roman"/>
          <w:sz w:val="29"/>
          <w:sz-cs w:val="29"/>
          <w:spacing w:val="0"/>
          <w:color w:val="0E0E0E"/>
        </w:rPr>
        <w:t xml:space="preserve"/>
      </w:r>
      <w:r>
        <w:rPr>
          <w:rFonts w:ascii="Times New Roman" w:hAnsi="Times New Roman" w:cs="Times New Roman"/>
          <w:sz w:val="25"/>
          <w:sz-cs w:val="25"/>
          <w:spacing w:val="0"/>
          <w:color w:val="262626"/>
        </w:rPr>
        <w:t xml:space="preserve"/>
      </w:r>
    </w:p>
    <w:p>
      <w:pPr>
        <w:jc w:val="both"/>
      </w:pPr>
      <w:r>
        <w:rPr>
          <w:rFonts w:ascii="Times New Roman" w:hAnsi="Times New Roman" w:cs="Times New Roman"/>
          <w:sz w:val="25"/>
          <w:sz-cs w:val="25"/>
          <w:b/>
          <w:spacing w:val="0"/>
          <w:color w:val="073B60"/>
        </w:rPr>
        <w:t xml:space="preserve">Figure 3 | Top Differentially Expressed Cell Wall Glycan Epitopes.</w:t>
      </w:r>
      <w:r>
        <w:rPr>
          <w:rFonts w:ascii="Times New Roman" w:hAnsi="Times New Roman" w:cs="Times New Roman"/>
          <w:sz w:val="25"/>
          <w:sz-cs w:val="25"/>
          <w:spacing w:val="0"/>
          <w:color w:val="262626"/>
        </w:rPr>
        <w:t xml:space="preserve"> Ranking of the most significantly upregulated and downregulated polysaccharide epitopes in microgravity-grown roots.</w:t>
      </w:r>
    </w:p>
    <w:p>
      <w:pPr>
        <w:spacing w:after="160"/>
      </w:pPr>
      <w:r>
        <w:rPr>
          <w:rFonts w:ascii="Arial" w:hAnsi="Arial" w:cs="Arial"/>
          <w:sz w:val="32"/>
          <w:sz-cs w:val="32"/>
          <w:b/>
          <w:spacing w:val="0"/>
          <w:color w:val="244672"/>
        </w:rPr>
        <w:t xml:space="preserve">3.2 Transcriptional Reprogramming of Cytoskeletal Motors &amp; Matrix Enzymes</w:t>
      </w:r>
    </w:p>
    <w:p>
      <w:pPr>
        <w:jc w:val="both"/>
        <w:spacing w:after="266"/>
      </w:pPr>
      <w:r>
        <w:rPr>
          <w:rFonts w:ascii="Times New Roman" w:hAnsi="Times New Roman" w:cs="Times New Roman"/>
          <w:sz w:val="29"/>
          <w:sz-cs w:val="29"/>
          <w:spacing w:val="0"/>
          <w:color w:val="0E0E0E"/>
        </w:rPr>
        <w:t xml:space="preserve">Companion RNA-Seq profiling from Veggie spaceflight experiments (OSD-218/OSD-217) demonstrated coordinated upregulation of active transport machinery, including class XI myosins (</w:t>
      </w:r>
      <w:r>
        <w:rPr>
          <w:rFonts w:ascii="Times New Roman" w:hAnsi="Times New Roman" w:cs="Times New Roman"/>
          <w:sz w:val="29"/>
          <w:sz-cs w:val="29"/>
          <w:i/>
          <w:spacing w:val="0"/>
          <w:color w:val="0E0E0E"/>
        </w:rPr>
        <w:t xml:space="preserve">MYA1</w:t>
      </w:r>
      <w:r>
        <w:rPr>
          <w:rFonts w:ascii="Times New Roman" w:hAnsi="Times New Roman" w:cs="Times New Roman"/>
          <w:sz w:val="29"/>
          <w:sz-cs w:val="29"/>
          <w:spacing w:val="0"/>
          <w:color w:val="0E0E0E"/>
        </w:rPr>
        <w:t xml:space="preserve">: +2.15 $\log_2 ext{FC}$; </w:t>
      </w:r>
      <w:r>
        <w:rPr>
          <w:rFonts w:ascii="Times New Roman" w:hAnsi="Times New Roman" w:cs="Times New Roman"/>
          <w:sz w:val="29"/>
          <w:sz-cs w:val="29"/>
          <w:i/>
          <w:spacing w:val="0"/>
          <w:color w:val="0E0E0E"/>
        </w:rPr>
        <w:t xml:space="preserve">MYA2</w:t>
      </w:r>
      <w:r>
        <w:rPr>
          <w:rFonts w:ascii="Times New Roman" w:hAnsi="Times New Roman" w:cs="Times New Roman"/>
          <w:sz w:val="29"/>
          <w:sz-cs w:val="29"/>
          <w:spacing w:val="0"/>
          <w:color w:val="0E0E0E"/>
        </w:rPr>
        <w:t xml:space="preserve">: +1.74 $\log_2 ext{FC}$; </w:t>
      </w:r>
      <w:r>
        <w:rPr>
          <w:rFonts w:ascii="Times New Roman" w:hAnsi="Times New Roman" w:cs="Times New Roman"/>
          <w:sz w:val="29"/>
          <w:sz-cs w:val="29"/>
          <w:i/>
          <w:spacing w:val="0"/>
          <w:color w:val="0E0E0E"/>
        </w:rPr>
        <w:t xml:space="preserve">XI-K</w:t>
      </w:r>
      <w:r>
        <w:rPr>
          <w:rFonts w:ascii="Times New Roman" w:hAnsi="Times New Roman" w:cs="Times New Roman"/>
          <w:sz w:val="29"/>
          <w:sz-cs w:val="29"/>
          <w:spacing w:val="0"/>
          <w:color w:val="0E0E0E"/>
        </w:rPr>
        <w:t xml:space="preserve">: +1.95 $\log_2 ext{FC}$), phragmoplast kinesins (</w:t>
      </w:r>
      <w:r>
        <w:rPr>
          <w:rFonts w:ascii="Times New Roman" w:hAnsi="Times New Roman" w:cs="Times New Roman"/>
          <w:sz w:val="29"/>
          <w:sz-cs w:val="29"/>
          <w:i/>
          <w:spacing w:val="0"/>
          <w:color w:val="0E0E0E"/>
        </w:rPr>
        <w:t xml:space="preserve">KIN12A</w:t>
      </w:r>
      <w:r>
        <w:rPr>
          <w:rFonts w:ascii="Times New Roman" w:hAnsi="Times New Roman" w:cs="Times New Roman"/>
          <w:sz w:val="29"/>
          <w:sz-cs w:val="29"/>
          <w:spacing w:val="0"/>
          <w:color w:val="0E0E0E"/>
        </w:rPr>
        <w:t xml:space="preserve">: +1.82 $\log_2 ext{FC}$), secondary wall cellulose synthases (</w:t>
      </w:r>
      <w:r>
        <w:rPr>
          <w:rFonts w:ascii="Times New Roman" w:hAnsi="Times New Roman" w:cs="Times New Roman"/>
          <w:sz w:val="29"/>
          <w:sz-cs w:val="29"/>
          <w:i/>
          <w:spacing w:val="0"/>
          <w:color w:val="0E0E0E"/>
        </w:rPr>
        <w:t xml:space="preserve">CESA4</w:t>
      </w:r>
      <w:r>
        <w:rPr>
          <w:rFonts w:ascii="Times New Roman" w:hAnsi="Times New Roman" w:cs="Times New Roman"/>
          <w:sz w:val="29"/>
          <w:sz-cs w:val="29"/>
          <w:spacing w:val="0"/>
          <w:color w:val="0E0E0E"/>
        </w:rPr>
        <w:t xml:space="preserve">: +2.65 $\log_2 ext{FC}$; </w:t>
      </w:r>
      <w:r>
        <w:rPr>
          <w:rFonts w:ascii="Times New Roman" w:hAnsi="Times New Roman" w:cs="Times New Roman"/>
          <w:sz w:val="29"/>
          <w:sz-cs w:val="29"/>
          <w:i/>
          <w:spacing w:val="0"/>
          <w:color w:val="0E0E0E"/>
        </w:rPr>
        <w:t xml:space="preserve">CESA7</w:t>
      </w:r>
      <w:r>
        <w:rPr>
          <w:rFonts w:ascii="Times New Roman" w:hAnsi="Times New Roman" w:cs="Times New Roman"/>
          <w:sz w:val="29"/>
          <w:sz-cs w:val="29"/>
          <w:spacing w:val="0"/>
          <w:color w:val="0E0E0E"/>
        </w:rPr>
        <w:t xml:space="preserve">: +2.45 $\log_2 ext{FC}$), and xylan synthases (</w:t>
      </w:r>
      <w:r>
        <w:rPr>
          <w:rFonts w:ascii="Times New Roman" w:hAnsi="Times New Roman" w:cs="Times New Roman"/>
          <w:sz w:val="29"/>
          <w:sz-cs w:val="29"/>
          <w:i/>
          <w:spacing w:val="0"/>
          <w:color w:val="0E0E0E"/>
        </w:rPr>
        <w:t xml:space="preserve">IRX9</w:t>
      </w:r>
      <w:r>
        <w:rPr>
          <w:rFonts w:ascii="Times New Roman" w:hAnsi="Times New Roman" w:cs="Times New Roman"/>
          <w:sz w:val="29"/>
          <w:sz-cs w:val="29"/>
          <w:spacing w:val="0"/>
          <w:color w:val="0E0E0E"/>
        </w:rPr>
        <w:t xml:space="preserve">: +2.80 $\log_2 ext{FC}$; </w:t>
      </w:r>
      <w:r>
        <w:rPr>
          <w:rFonts w:ascii="Times New Roman" w:hAnsi="Times New Roman" w:cs="Times New Roman"/>
          <w:sz w:val="29"/>
          <w:sz-cs w:val="29"/>
          <w:i/>
          <w:spacing w:val="0"/>
          <w:color w:val="0E0E0E"/>
        </w:rPr>
        <w:t xml:space="preserve">IRX10</w:t>
      </w:r>
      <w:r>
        <w:rPr>
          <w:rFonts w:ascii="Times New Roman" w:hAnsi="Times New Roman" w:cs="Times New Roman"/>
          <w:sz w:val="29"/>
          <w:sz-cs w:val="29"/>
          <w:spacing w:val="0"/>
          <w:color w:val="0E0E0E"/>
        </w:rPr>
        <w:t xml:space="preserve">: +2.35 $\log_2 ext{FC}$) (Figure 4).</w:t>
      </w:r>
    </w:p>
    <w:p>
      <w:pPr>
        <w:jc w:val="center"/>
      </w:pPr>
      <w:r>
        <w:rPr>
          <w:rFonts w:ascii="Times New Roman" w:hAnsi="Times New Roman" w:cs="Times New Roman"/>
          <w:sz w:val="29"/>
          <w:sz-cs w:val="29"/>
          <w:spacing w:val="0"/>
          <w:color w:val="0E0E0E"/>
        </w:rPr>
        <w:t xml:space="preserve"/>
      </w:r>
      <w:r>
        <w:rPr>
          <w:rFonts w:ascii="Times New Roman" w:hAnsi="Times New Roman" w:cs="Times New Roman"/>
          <w:sz w:val="25"/>
          <w:sz-cs w:val="25"/>
          <w:spacing w:val="0"/>
          <w:color w:val="262626"/>
        </w:rPr>
        <w:t xml:space="preserve"/>
      </w:r>
    </w:p>
    <w:p>
      <w:pPr>
        <w:jc w:val="both"/>
      </w:pPr>
      <w:r>
        <w:rPr>
          <w:rFonts w:ascii="Times New Roman" w:hAnsi="Times New Roman" w:cs="Times New Roman"/>
          <w:sz w:val="25"/>
          <w:sz-cs w:val="25"/>
          <w:b/>
          <w:spacing w:val="0"/>
          <w:color w:val="073B60"/>
        </w:rPr>
        <w:t xml:space="preserve">Figure 4 | Transcriptional Reprogramming of Cytoskeletal Motors and Matrix Biosynthesis Transcripts in Spaceflight.</w:t>
      </w:r>
      <w:r>
        <w:rPr>
          <w:rFonts w:ascii="Times New Roman" w:hAnsi="Times New Roman" w:cs="Times New Roman"/>
          <w:sz w:val="25"/>
          <w:sz-cs w:val="25"/>
          <w:spacing w:val="0"/>
          <w:color w:val="262626"/>
        </w:rPr>
        <w:t xml:space="preserve"> Differential expression ($\log_2 ext{FC}$) of curated kinesin motors, myosins, microtubule-associated proteins (MAPs), actin-binding proteins, cellulose synthases (CESAs), glycosyltransferases, and intracellular $O$-GlcNAc enzymes (SEC/SPY).</w:t>
      </w:r>
    </w:p>
    <w:p>
      <w:pPr>
        <w:spacing w:after="160"/>
      </w:pPr>
      <w:r>
        <w:rPr>
          <w:rFonts w:ascii="Arial" w:hAnsi="Arial" w:cs="Arial"/>
          <w:sz w:val="32"/>
          <w:sz-cs w:val="32"/>
          <w:b/>
          <w:spacing w:val="0"/>
          <w:color w:val="244672"/>
        </w:rPr>
        <w:t xml:space="preserve">3.3 Multi-Omics Integration and Functional Interactome</w:t>
      </w:r>
    </w:p>
    <w:p>
      <w:pPr>
        <w:jc w:val="both"/>
        <w:spacing w:after="266"/>
      </w:pPr>
      <w:r>
        <w:rPr>
          <w:rFonts w:ascii="Times New Roman" w:hAnsi="Times New Roman" w:cs="Times New Roman"/>
          <w:sz w:val="29"/>
          <w:sz-cs w:val="29"/>
          <w:spacing w:val="0"/>
          <w:color w:val="0E0E0E"/>
        </w:rPr>
        <w:t xml:space="preserve">Sparse PLS integration linked xylan-directed antibodies (CCRC-M138, CCRC-M140) and non-fucosylated xyloglucans directly with motor transcripts and secondary wall synthesis hubs (Figure 5). WGCNA module-trait analysis confirmed that the </w:t>
      </w:r>
      <w:r>
        <w:rPr>
          <w:rFonts w:ascii="Times New Roman" w:hAnsi="Times New Roman" w:cs="Times New Roman"/>
          <w:sz w:val="29"/>
          <w:sz-cs w:val="29"/>
          <w:i/>
          <w:spacing w:val="0"/>
          <w:color w:val="0E0E0E"/>
        </w:rPr>
        <w:t xml:space="preserve">Turquoise Module</w:t>
      </w:r>
      <w:r>
        <w:rPr>
          <w:rFonts w:ascii="Times New Roman" w:hAnsi="Times New Roman" w:cs="Times New Roman"/>
          <w:sz w:val="29"/>
          <w:sz-cs w:val="29"/>
          <w:spacing w:val="0"/>
          <w:color w:val="0E0E0E"/>
        </w:rPr>
        <w:t xml:space="preserve"> (Secondary Wall / Xylan) correlated strongly with xylan epitope abundance ($r = +0.86, p = 0.0003$; Figure 6).</w:t>
      </w:r>
    </w:p>
    <w:p>
      <w:pPr>
        <w:jc w:val="center"/>
      </w:pPr>
      <w:r>
        <w:rPr>
          <w:rFonts w:ascii="Times New Roman" w:hAnsi="Times New Roman" w:cs="Times New Roman"/>
          <w:sz w:val="29"/>
          <w:sz-cs w:val="29"/>
          <w:spacing w:val="0"/>
          <w:color w:val="0E0E0E"/>
        </w:rPr>
        <w:t xml:space="preserve"/>
      </w:r>
      <w:r>
        <w:rPr>
          <w:rFonts w:ascii="Times New Roman" w:hAnsi="Times New Roman" w:cs="Times New Roman"/>
          <w:sz w:val="29"/>
          <w:sz-cs w:val="29"/>
          <w:spacing w:val="0"/>
          <w:color w:val="0E0E0E"/>
        </w:rPr>
        <w:t xml:space="preserve"> </w:t>
      </w:r>
      <w:r>
        <w:rPr>
          <w:rFonts w:ascii="Times New Roman" w:hAnsi="Times New Roman" w:cs="Times New Roman"/>
          <w:sz w:val="29"/>
          <w:sz-cs w:val="29"/>
          <w:spacing w:val="0"/>
          <w:color w:val="0E0E0E"/>
        </w:rPr>
        <w:t xml:space="preserve"/>
      </w:r>
      <w:r>
        <w:rPr>
          <w:rFonts w:ascii="Times New Roman" w:hAnsi="Times New Roman" w:cs="Times New Roman"/>
          <w:sz w:val="25"/>
          <w:sz-cs w:val="25"/>
          <w:spacing w:val="0"/>
          <w:color w:val="262626"/>
        </w:rPr>
        <w:t xml:space="preserve"/>
      </w:r>
    </w:p>
    <w:p>
      <w:pPr>
        <w:jc w:val="both"/>
      </w:pPr>
      <w:r>
        <w:rPr>
          <w:rFonts w:ascii="Times New Roman" w:hAnsi="Times New Roman" w:cs="Times New Roman"/>
          <w:sz w:val="25"/>
          <w:sz-cs w:val="25"/>
          <w:b/>
          <w:spacing w:val="0"/>
          <w:color w:val="073B60"/>
        </w:rPr>
        <w:t xml:space="preserve">Figure 5 | Multi-Omics Supervised sPLS Integration.</w:t>
      </w:r>
      <w:r>
        <w:rPr>
          <w:rFonts w:ascii="Times New Roman" w:hAnsi="Times New Roman" w:cs="Times New Roman"/>
          <w:sz w:val="25"/>
          <w:sz-cs w:val="25"/>
          <w:spacing w:val="0"/>
          <w:color w:val="262626"/>
        </w:rPr>
        <w:t xml:space="preserve"> </w:t>
      </w:r>
      <w:r>
        <w:rPr>
          <w:rFonts w:ascii="Times New Roman" w:hAnsi="Times New Roman" w:cs="Times New Roman"/>
          <w:sz w:val="25"/>
          <w:sz-cs w:val="25"/>
          <w:b/>
          <w:spacing w:val="0"/>
          <w:color w:val="073B60"/>
        </w:rPr>
        <w:t xml:space="preserve">a</w:t>
      </w:r>
      <w:r>
        <w:rPr>
          <w:rFonts w:ascii="Times New Roman" w:hAnsi="Times New Roman" w:cs="Times New Roman"/>
          <w:sz w:val="25"/>
          <w:sz-cs w:val="25"/>
          <w:spacing w:val="0"/>
          <w:color w:val="262626"/>
        </w:rPr>
        <w:t xml:space="preserve">, Correlation circle plot showing variable projections of 155 glycan mAbs (blue dots) and 28 cytoskeletal/wall transcripts (red vectors). </w:t>
      </w:r>
      <w:r>
        <w:rPr>
          <w:rFonts w:ascii="Times New Roman" w:hAnsi="Times New Roman" w:cs="Times New Roman"/>
          <w:sz w:val="25"/>
          <w:sz-cs w:val="25"/>
          <w:b/>
          <w:spacing w:val="0"/>
          <w:color w:val="073B60"/>
        </w:rPr>
        <w:t xml:space="preserve">b</w:t>
      </w:r>
      <w:r>
        <w:rPr>
          <w:rFonts w:ascii="Times New Roman" w:hAnsi="Times New Roman" w:cs="Times New Roman"/>
          <w:sz w:val="25"/>
          <w:sz-cs w:val="25"/>
          <w:spacing w:val="0"/>
          <w:color w:val="262626"/>
        </w:rPr>
        <w:t xml:space="preserve">, Clustered Image Map (CIM) of cross-correlation coefficients ($r$) between top altered mAbs and key motor/cell wall genes.</w:t>
      </w:r>
    </w:p>
    <w:p>
      <w:pPr>
        <w:jc w:val="center"/>
      </w:pPr>
      <w:r>
        <w:rPr>
          <w:rFonts w:ascii="Times New Roman" w:hAnsi="Times New Roman" w:cs="Times New Roman"/>
          <w:sz w:val="29"/>
          <w:sz-cs w:val="29"/>
          <w:spacing w:val="0"/>
          <w:color w:val="0E0E0E"/>
        </w:rPr>
        <w:t xml:space="preserve"/>
      </w:r>
      <w:r>
        <w:rPr>
          <w:rFonts w:ascii="Times New Roman" w:hAnsi="Times New Roman" w:cs="Times New Roman"/>
          <w:sz w:val="29"/>
          <w:sz-cs w:val="29"/>
          <w:spacing w:val="0"/>
          <w:color w:val="0E0E0E"/>
        </w:rPr>
        <w:t xml:space="preserve"> </w:t>
      </w:r>
      <w:r>
        <w:rPr>
          <w:rFonts w:ascii="Times New Roman" w:hAnsi="Times New Roman" w:cs="Times New Roman"/>
          <w:sz w:val="29"/>
          <w:sz-cs w:val="29"/>
          <w:spacing w:val="0"/>
          <w:color w:val="0E0E0E"/>
        </w:rPr>
        <w:t xml:space="preserve"/>
      </w:r>
      <w:r>
        <w:rPr>
          <w:rFonts w:ascii="Times New Roman" w:hAnsi="Times New Roman" w:cs="Times New Roman"/>
          <w:sz w:val="25"/>
          <w:sz-cs w:val="25"/>
          <w:spacing w:val="0"/>
          <w:color w:val="262626"/>
        </w:rPr>
        <w:t xml:space="preserve"/>
      </w:r>
    </w:p>
    <w:p>
      <w:pPr>
        <w:jc w:val="both"/>
      </w:pPr>
      <w:r>
        <w:rPr>
          <w:rFonts w:ascii="Times New Roman" w:hAnsi="Times New Roman" w:cs="Times New Roman"/>
          <w:sz w:val="25"/>
          <w:sz-cs w:val="25"/>
          <w:b/>
          <w:spacing w:val="0"/>
          <w:color w:val="073B60"/>
        </w:rPr>
        <w:t xml:space="preserve">Figure 6 | Systems Interactome and WGCNA Module–Trait Correlations.</w:t>
      </w:r>
      <w:r>
        <w:rPr>
          <w:rFonts w:ascii="Times New Roman" w:hAnsi="Times New Roman" w:cs="Times New Roman"/>
          <w:sz w:val="25"/>
          <w:sz-cs w:val="25"/>
          <w:spacing w:val="0"/>
          <w:color w:val="262626"/>
        </w:rPr>
        <w:t xml:space="preserve"> </w:t>
      </w:r>
      <w:r>
        <w:rPr>
          <w:rFonts w:ascii="Times New Roman" w:hAnsi="Times New Roman" w:cs="Times New Roman"/>
          <w:sz w:val="25"/>
          <w:sz-cs w:val="25"/>
          <w:b/>
          <w:spacing w:val="0"/>
          <w:color w:val="073B60"/>
        </w:rPr>
        <w:t xml:space="preserve">a</w:t>
      </w:r>
      <w:r>
        <w:rPr>
          <w:rFonts w:ascii="Times New Roman" w:hAnsi="Times New Roman" w:cs="Times New Roman"/>
          <w:sz w:val="25"/>
          <w:sz-cs w:val="25"/>
          <w:spacing w:val="0"/>
          <w:color w:val="262626"/>
        </w:rPr>
        <w:t xml:space="preserve">, High-confidence Protein–Protein Interaction (PPI) network coupling motor proteins, MT regulators, and matrix synthases. </w:t>
      </w:r>
      <w:r>
        <w:rPr>
          <w:rFonts w:ascii="Times New Roman" w:hAnsi="Times New Roman" w:cs="Times New Roman"/>
          <w:sz w:val="25"/>
          <w:sz-cs w:val="25"/>
          <w:b/>
          <w:spacing w:val="0"/>
          <w:color w:val="073B60"/>
        </w:rPr>
        <w:t xml:space="preserve">b</w:t>
      </w:r>
      <w:r>
        <w:rPr>
          <w:rFonts w:ascii="Times New Roman" w:hAnsi="Times New Roman" w:cs="Times New Roman"/>
          <w:sz w:val="25"/>
          <w:sz-cs w:val="25"/>
          <w:spacing w:val="0"/>
          <w:color w:val="262626"/>
        </w:rPr>
        <w:t xml:space="preserve">, WGCNA module-trait correlation matrix linking co-expression eigengenes with OSD-615 glycan class vectors.</w:t>
      </w:r>
    </w:p>
    <w:p>
      <w:pPr>
        <w:jc w:val="center"/>
      </w:pPr>
      <w:r>
        <w:rPr>
          <w:rFonts w:ascii="Times New Roman" w:hAnsi="Times New Roman" w:cs="Times New Roman"/>
          <w:sz w:val="29"/>
          <w:sz-cs w:val="29"/>
          <w:spacing w:val="0"/>
          <w:color w:val="0E0E0E"/>
        </w:rPr>
        <w:t xml:space="preserve"/>
      </w:r>
      <w:r>
        <w:rPr>
          <w:rFonts w:ascii="Times New Roman" w:hAnsi="Times New Roman" w:cs="Times New Roman"/>
          <w:sz w:val="25"/>
          <w:sz-cs w:val="25"/>
          <w:spacing w:val="0"/>
          <w:color w:val="262626"/>
        </w:rPr>
        <w:t xml:space="preserve"/>
      </w:r>
    </w:p>
    <w:p>
      <w:pPr>
        <w:jc w:val="both"/>
      </w:pPr>
      <w:r>
        <w:rPr>
          <w:rFonts w:ascii="Times New Roman" w:hAnsi="Times New Roman" w:cs="Times New Roman"/>
          <w:sz w:val="25"/>
          <w:sz-cs w:val="25"/>
          <w:b/>
          <w:spacing w:val="0"/>
          <w:color w:val="073B60"/>
        </w:rPr>
        <w:t xml:space="preserve">Figure 7 | Functional Pathway &amp; Ontology Enrichment.</w:t>
      </w:r>
      <w:r>
        <w:rPr>
          <w:rFonts w:ascii="Times New Roman" w:hAnsi="Times New Roman" w:cs="Times New Roman"/>
          <w:sz w:val="25"/>
          <w:sz-cs w:val="25"/>
          <w:spacing w:val="0"/>
          <w:color w:val="262626"/>
        </w:rPr>
        <w:t xml:space="preserve"> Dot plot depicting fold enrichment, gene count, and $-\log_{10} ext{FDR}$ significance across Gene Ontology, MapMan4, and CAZy categories.</w:t>
      </w:r>
    </w:p>
    <w:p>
      <w:pPr>
        <w:spacing w:after="160"/>
      </w:pPr>
      <w:r>
        <w:rPr>
          <w:rFonts w:ascii="Arial" w:hAnsi="Arial" w:cs="Arial"/>
          <w:sz w:val="32"/>
          <w:sz-cs w:val="32"/>
          <w:b/>
          <w:spacing w:val="0"/>
          <w:color w:val="244672"/>
        </w:rPr>
        <w:t xml:space="preserve">3.4 Dynamic Vesicle Transport Simulation</w:t>
      </w:r>
    </w:p>
    <w:p>
      <w:pPr>
        <w:jc w:val="both"/>
        <w:spacing w:after="266"/>
      </w:pPr>
      <w:r>
        <w:rPr>
          <w:rFonts w:ascii="Times New Roman" w:hAnsi="Times New Roman" w:cs="Times New Roman"/>
          <w:sz w:val="29"/>
          <w:sz-cs w:val="29"/>
          <w:spacing w:val="0"/>
          <w:color w:val="0E0E0E"/>
        </w:rPr>
        <w:t xml:space="preserve">Stochastic Monte Carlo simulation of 1,000 secretory vesicles demonstrated that microgravity-induced cortical microtubule disorientation and actin fragmentation reduce vesicle delivery efficiency from 94.5% (Ground) to 68.2% (Spaceflight), extending mean transit times from 34.2s to 58.6s (Figure 8).</w:t>
      </w:r>
    </w:p>
    <w:p>
      <w:pPr>
        <w:jc w:val="center"/>
      </w:pPr>
      <w:r>
        <w:rPr>
          <w:rFonts w:ascii="Times New Roman" w:hAnsi="Times New Roman" w:cs="Times New Roman"/>
          <w:sz w:val="29"/>
          <w:sz-cs w:val="29"/>
          <w:spacing w:val="0"/>
          <w:color w:val="0E0E0E"/>
        </w:rPr>
        <w:t xml:space="preserve"/>
      </w:r>
      <w:r>
        <w:rPr>
          <w:rFonts w:ascii="Times New Roman" w:hAnsi="Times New Roman" w:cs="Times New Roman"/>
          <w:sz w:val="25"/>
          <w:sz-cs w:val="25"/>
          <w:spacing w:val="0"/>
          <w:color w:val="262626"/>
        </w:rPr>
        <w:t xml:space="preserve"/>
      </w:r>
    </w:p>
    <w:p>
      <w:pPr>
        <w:jc w:val="both"/>
      </w:pPr>
      <w:r>
        <w:rPr>
          <w:rFonts w:ascii="Times New Roman" w:hAnsi="Times New Roman" w:cs="Times New Roman"/>
          <w:sz w:val="25"/>
          <w:sz-cs w:val="25"/>
          <w:b/>
          <w:spacing w:val="0"/>
          <w:color w:val="073B60"/>
        </w:rPr>
        <w:t xml:space="preserve">Figure 8 | Stochastic Dynamic Simulation of Cytoskeletal Motor-Driven Vesicle Transport.</w:t>
      </w:r>
      <w:r>
        <w:rPr>
          <w:rFonts w:ascii="Times New Roman" w:hAnsi="Times New Roman" w:cs="Times New Roman"/>
          <w:sz w:val="25"/>
          <w:sz-cs w:val="25"/>
          <w:spacing w:val="0"/>
          <w:color w:val="262626"/>
        </w:rPr>
        <w:t xml:space="preserve"> </w:t>
      </w:r>
      <w:r>
        <w:rPr>
          <w:rFonts w:ascii="Times New Roman" w:hAnsi="Times New Roman" w:cs="Times New Roman"/>
          <w:sz w:val="25"/>
          <w:sz-cs w:val="25"/>
          <w:b/>
          <w:spacing w:val="0"/>
          <w:color w:val="073B60"/>
        </w:rPr>
        <w:t xml:space="preserve">a</w:t>
      </w:r>
      <w:r>
        <w:rPr>
          <w:rFonts w:ascii="Times New Roman" w:hAnsi="Times New Roman" w:cs="Times New Roman"/>
          <w:sz w:val="25"/>
          <w:sz-cs w:val="25"/>
          <w:spacing w:val="0"/>
          <w:color w:val="262626"/>
        </w:rPr>
        <w:t xml:space="preserve">, Cumulative vesicle delivery curve at the cell cortex. </w:t>
      </w:r>
      <w:r>
        <w:rPr>
          <w:rFonts w:ascii="Times New Roman" w:hAnsi="Times New Roman" w:cs="Times New Roman"/>
          <w:sz w:val="25"/>
          <w:sz-cs w:val="25"/>
          <w:b/>
          <w:spacing w:val="0"/>
          <w:color w:val="073B60"/>
        </w:rPr>
        <w:t xml:space="preserve">b</w:t>
      </w:r>
      <w:r>
        <w:rPr>
          <w:rFonts w:ascii="Times New Roman" w:hAnsi="Times New Roman" w:cs="Times New Roman"/>
          <w:sz w:val="25"/>
          <w:sz-cs w:val="25"/>
          <w:spacing w:val="0"/>
          <w:color w:val="262626"/>
        </w:rPr>
        <w:t xml:space="preserve">, Transit time probability density distributions. </w:t>
      </w:r>
      <w:r>
        <w:rPr>
          <w:rFonts w:ascii="Times New Roman" w:hAnsi="Times New Roman" w:cs="Times New Roman"/>
          <w:sz w:val="25"/>
          <w:sz-cs w:val="25"/>
          <w:b/>
          <w:spacing w:val="0"/>
          <w:color w:val="073B60"/>
        </w:rPr>
        <w:t xml:space="preserve">c</w:t>
      </w:r>
      <w:r>
        <w:rPr>
          <w:rFonts w:ascii="Times New Roman" w:hAnsi="Times New Roman" w:cs="Times New Roman"/>
          <w:sz w:val="25"/>
          <w:sz-cs w:val="25"/>
          <w:spacing w:val="0"/>
          <w:color w:val="262626"/>
        </w:rPr>
        <w:t xml:space="preserve">, Instantaneous motor velocity and stalling profiles in 1</w:t>
      </w:r>
      <w:r>
        <w:rPr>
          <w:rFonts w:ascii="Times New Roman" w:hAnsi="Times New Roman" w:cs="Times New Roman"/>
          <w:sz w:val="25"/>
          <w:sz-cs w:val="25"/>
          <w:i/>
          <w:spacing w:val="0"/>
          <w:color w:val="262626"/>
        </w:rPr>
        <w:t xml:space="preserve">g</w:t>
      </w:r>
      <w:r>
        <w:rPr>
          <w:rFonts w:ascii="Times New Roman" w:hAnsi="Times New Roman" w:cs="Times New Roman"/>
          <w:sz w:val="25"/>
          <w:sz-cs w:val="25"/>
          <w:spacing w:val="0"/>
          <w:color w:val="262626"/>
        </w:rPr>
        <w:t xml:space="preserve"> Ground vs 0</w:t>
      </w:r>
      <w:r>
        <w:rPr>
          <w:rFonts w:ascii="Times New Roman" w:hAnsi="Times New Roman" w:cs="Times New Roman"/>
          <w:sz w:val="25"/>
          <w:sz-cs w:val="25"/>
          <w:i/>
          <w:spacing w:val="0"/>
          <w:color w:val="262626"/>
        </w:rPr>
        <w:t xml:space="preserve">g</w:t>
      </w:r>
      <w:r>
        <w:rPr>
          <w:rFonts w:ascii="Times New Roman" w:hAnsi="Times New Roman" w:cs="Times New Roman"/>
          <w:sz w:val="25"/>
          <w:sz-cs w:val="25"/>
          <w:spacing w:val="0"/>
          <w:color w:val="262626"/>
        </w:rPr>
        <w:t xml:space="preserve"> Spaceflight.</w:t>
      </w:r>
    </w:p>
    <w:p>
      <w:pPr>
        <w:spacing w:after="266"/>
      </w:pPr>
      <w:r>
        <w:rPr>
          <w:rFonts w:ascii="Arial" w:hAnsi="Arial" w:cs="Arial"/>
          <w:sz w:val="37"/>
          <w:sz-cs w:val="37"/>
          <w:b/>
          <w:spacing w:val="0"/>
          <w:color w:val="073B60"/>
        </w:rPr>
        <w:t xml:space="preserve">4. Mass Spectrometry Workflows for Mapping </w:t>
      </w:r>
      <w:r>
        <w:rPr>
          <w:rFonts w:ascii="Arial" w:hAnsi="Arial" w:cs="Arial"/>
          <w:sz w:val="37"/>
          <w:sz-cs w:val="37"/>
          <w:b/>
          <w:i/>
          <w:spacing w:val="0"/>
          <w:color w:val="073B60"/>
        </w:rPr>
        <w:t xml:space="preserve">O</w:t>
      </w:r>
      <w:r>
        <w:rPr>
          <w:rFonts w:ascii="Arial" w:hAnsi="Arial" w:cs="Arial"/>
          <w:sz w:val="37"/>
          <w:sz-cs w:val="37"/>
          <w:b/>
          <w:spacing w:val="0"/>
          <w:color w:val="073B60"/>
        </w:rPr>
        <w:t xml:space="preserve">-GlcNAcylation on Motor Complexes</w:t>
      </w:r>
    </w:p>
    <w:p>
      <w:pPr>
        <w:jc w:val="both"/>
        <w:spacing w:after="266"/>
      </w:pPr>
      <w:r>
        <w:rPr>
          <w:rFonts w:ascii="Times New Roman" w:hAnsi="Times New Roman" w:cs="Times New Roman"/>
          <w:sz w:val="29"/>
          <w:sz-cs w:val="29"/>
          <w:spacing w:val="0"/>
          <w:color w:val="0E0E0E"/>
        </w:rPr>
        <w:t xml:space="preserve">Intracellular </w:t>
      </w:r>
      <w:r>
        <w:rPr>
          <w:rFonts w:ascii="Times New Roman" w:hAnsi="Times New Roman" w:cs="Times New Roman"/>
          <w:sz w:val="29"/>
          <w:sz-cs w:val="29"/>
          <w:i/>
          <w:spacing w:val="0"/>
          <w:color w:val="0E0E0E"/>
        </w:rPr>
        <w:t xml:space="preserve">O</w:t>
      </w:r>
      <w:r>
        <w:rPr>
          <w:rFonts w:ascii="Times New Roman" w:hAnsi="Times New Roman" w:cs="Times New Roman"/>
          <w:sz w:val="29"/>
          <w:sz-cs w:val="29"/>
          <w:spacing w:val="0"/>
          <w:color w:val="0E0E0E"/>
        </w:rPr>
        <w:t xml:space="preserve">-linked β-</w:t>
      </w:r>
      <w:r>
        <w:rPr>
          <w:rFonts w:ascii="Times New Roman" w:hAnsi="Times New Roman" w:cs="Times New Roman"/>
          <w:sz w:val="29"/>
          <w:sz-cs w:val="29"/>
          <w:i/>
          <w:spacing w:val="0"/>
          <w:color w:val="0E0E0E"/>
        </w:rPr>
        <w:t xml:space="preserve">N</w:t>
      </w:r>
      <w:r>
        <w:rPr>
          <w:rFonts w:ascii="Times New Roman" w:hAnsi="Times New Roman" w:cs="Times New Roman"/>
          <w:sz w:val="29"/>
          <w:sz-cs w:val="29"/>
          <w:spacing w:val="0"/>
          <w:color w:val="0E0E0E"/>
        </w:rPr>
        <w:t xml:space="preserve">-acetylglucosamine (</w:t>
      </w:r>
      <w:r>
        <w:rPr>
          <w:rFonts w:ascii="Times New Roman" w:hAnsi="Times New Roman" w:cs="Times New Roman"/>
          <w:sz w:val="29"/>
          <w:sz-cs w:val="29"/>
          <w:i/>
          <w:spacing w:val="0"/>
          <w:color w:val="0E0E0E"/>
        </w:rPr>
        <w:t xml:space="preserve">O</w:t>
      </w:r>
      <w:r>
        <w:rPr>
          <w:rFonts w:ascii="Times New Roman" w:hAnsi="Times New Roman" w:cs="Times New Roman"/>
          <w:sz w:val="29"/>
          <w:sz-cs w:val="29"/>
          <w:spacing w:val="0"/>
          <w:color w:val="0E0E0E"/>
        </w:rPr>
        <w:t xml:space="preserve">-GlcNAc) is a reversible regulatory modification on Ser/Thr residues of cytoskeletal motors, competing dynamically with phosphorylation (Figure 9). Table 1 summarizes known and candidate </w:t>
      </w:r>
      <w:r>
        <w:rPr>
          <w:rFonts w:ascii="Times New Roman" w:hAnsi="Times New Roman" w:cs="Times New Roman"/>
          <w:sz w:val="29"/>
          <w:sz-cs w:val="29"/>
          <w:i/>
          <w:spacing w:val="0"/>
          <w:color w:val="0E0E0E"/>
        </w:rPr>
        <w:t xml:space="preserve">O</w:t>
      </w:r>
      <w:r>
        <w:rPr>
          <w:rFonts w:ascii="Times New Roman" w:hAnsi="Times New Roman" w:cs="Times New Roman"/>
          <w:sz w:val="29"/>
          <w:sz-cs w:val="29"/>
          <w:spacing w:val="0"/>
          <w:color w:val="0E0E0E"/>
        </w:rPr>
        <w:t xml:space="preserve">-GlcNAc sites on motor machinery.</w:t>
      </w:r>
    </w:p>
    <w:p>
      <w:pPr>
        <w:jc w:val="center"/>
      </w:pPr>
      <w:r>
        <w:rPr>
          <w:rFonts w:ascii="Times New Roman" w:hAnsi="Times New Roman" w:cs="Times New Roman"/>
          <w:sz w:val="29"/>
          <w:sz-cs w:val="29"/>
          <w:spacing w:val="0"/>
          <w:color w:val="0E0E0E"/>
        </w:rPr>
        <w:t xml:space="preserve"/>
      </w:r>
      <w:r>
        <w:rPr>
          <w:rFonts w:ascii="Times New Roman" w:hAnsi="Times New Roman" w:cs="Times New Roman"/>
          <w:sz w:val="25"/>
          <w:sz-cs w:val="25"/>
          <w:spacing w:val="0"/>
          <w:color w:val="262626"/>
        </w:rPr>
        <w:t xml:space="preserve"/>
      </w:r>
    </w:p>
    <w:p>
      <w:pPr>
        <w:jc w:val="both"/>
      </w:pPr>
      <w:r>
        <w:rPr>
          <w:rFonts w:ascii="Times New Roman" w:hAnsi="Times New Roman" w:cs="Times New Roman"/>
          <w:sz w:val="25"/>
          <w:sz-cs w:val="25"/>
          <w:b/>
          <w:spacing w:val="0"/>
          <w:color w:val="073B60"/>
        </w:rPr>
        <w:t xml:space="preserve">Figure 9 | Comprehensive Mass Spectrometry and Glycome Profiling Workflows.</w:t>
      </w:r>
      <w:r>
        <w:rPr>
          <w:rFonts w:ascii="Times New Roman" w:hAnsi="Times New Roman" w:cs="Times New Roman"/>
          <w:sz w:val="25"/>
          <w:sz-cs w:val="25"/>
          <w:spacing w:val="0"/>
          <w:color w:val="262626"/>
        </w:rPr>
        <w:t xml:space="preserve"> </w:t>
      </w:r>
      <w:r>
        <w:rPr>
          <w:rFonts w:ascii="Times New Roman" w:hAnsi="Times New Roman" w:cs="Times New Roman"/>
          <w:sz w:val="25"/>
          <w:sz-cs w:val="25"/>
          <w:b/>
          <w:spacing w:val="0"/>
          <w:color w:val="073B60"/>
        </w:rPr>
        <w:t xml:space="preserve">A</w:t>
      </w:r>
      <w:r>
        <w:rPr>
          <w:rFonts w:ascii="Times New Roman" w:hAnsi="Times New Roman" w:cs="Times New Roman"/>
          <w:sz w:val="25"/>
          <w:sz-cs w:val="25"/>
          <w:spacing w:val="0"/>
          <w:color w:val="262626"/>
        </w:rPr>
        <w:t xml:space="preserve">, EThcD LC-MS/MS workflow for mapping labile </w:t>
      </w:r>
      <w:r>
        <w:rPr>
          <w:rFonts w:ascii="Times New Roman" w:hAnsi="Times New Roman" w:cs="Times New Roman"/>
          <w:sz w:val="25"/>
          <w:sz-cs w:val="25"/>
          <w:i/>
          <w:spacing w:val="0"/>
          <w:color w:val="262626"/>
        </w:rPr>
        <w:t xml:space="preserve">O</w:t>
      </w:r>
      <w:r>
        <w:rPr>
          <w:rFonts w:ascii="Times New Roman" w:hAnsi="Times New Roman" w:cs="Times New Roman"/>
          <w:sz w:val="25"/>
          <w:sz-cs w:val="25"/>
          <w:spacing w:val="0"/>
          <w:color w:val="262626"/>
        </w:rPr>
        <w:t xml:space="preserve">-GlcNAc sites on motor complexes. </w:t>
      </w:r>
      <w:r>
        <w:rPr>
          <w:rFonts w:ascii="Times New Roman" w:hAnsi="Times New Roman" w:cs="Times New Roman"/>
          <w:sz w:val="25"/>
          <w:sz-cs w:val="25"/>
          <w:b/>
          <w:spacing w:val="0"/>
          <w:color w:val="073B60"/>
        </w:rPr>
        <w:t xml:space="preserve">B</w:t>
      </w:r>
      <w:r>
        <w:rPr>
          <w:rFonts w:ascii="Times New Roman" w:hAnsi="Times New Roman" w:cs="Times New Roman"/>
          <w:sz w:val="25"/>
          <w:sz-cs w:val="25"/>
          <w:spacing w:val="0"/>
          <w:color w:val="262626"/>
        </w:rPr>
        <w:t xml:space="preserve">, CCRC sequential chemical fractionation and ELISA glycome profiling (OSD-615). </w:t>
      </w:r>
      <w:r>
        <w:rPr>
          <w:rFonts w:ascii="Times New Roman" w:hAnsi="Times New Roman" w:cs="Times New Roman"/>
          <w:sz w:val="25"/>
          <w:sz-cs w:val="25"/>
          <w:b/>
          <w:spacing w:val="0"/>
          <w:color w:val="073B60"/>
        </w:rPr>
        <w:t xml:space="preserve">C</w:t>
      </w:r>
      <w:r>
        <w:rPr>
          <w:rFonts w:ascii="Times New Roman" w:hAnsi="Times New Roman" w:cs="Times New Roman"/>
          <w:sz w:val="25"/>
          <w:sz-cs w:val="25"/>
          <w:spacing w:val="0"/>
          <w:color w:val="262626"/>
        </w:rPr>
        <w:t xml:space="preserve">, Systems biology multi-omics integration framework.</w:t>
      </w:r>
    </w:p>
    <w:p>
      <w:pPr/>
      <w:r>
        <w:rPr>
          <w:rFonts w:ascii="Times New Roman" w:hAnsi="Times New Roman" w:cs="Times New Roman"/>
          <w:sz w:val="26"/>
          <w:sz-cs w:val="26"/>
          <w:b/>
          <w:spacing w:val="0"/>
          <w:color w:val="073B60"/>
        </w:rPr>
        <w:t xml:space="preserve">Table 1 | Known and Candidate </w:t>
      </w:r>
      <w:r>
        <w:rPr>
          <w:rFonts w:ascii="Times New Roman" w:hAnsi="Times New Roman" w:cs="Times New Roman"/>
          <w:sz w:val="26"/>
          <w:sz-cs w:val="26"/>
          <w:b/>
          <w:i/>
          <w:spacing w:val="0"/>
          <w:color w:val="073B60"/>
        </w:rPr>
        <w:t xml:space="preserve">O</w:t>
      </w:r>
      <w:r>
        <w:rPr>
          <w:rFonts w:ascii="Times New Roman" w:hAnsi="Times New Roman" w:cs="Times New Roman"/>
          <w:sz w:val="26"/>
          <w:sz-cs w:val="26"/>
          <w:b/>
          <w:spacing w:val="0"/>
          <w:color w:val="073B60"/>
        </w:rPr>
        <w:t xml:space="preserve">-GlcNAcylation Sites on Cytoskeletal Machinery.</w:t>
      </w:r>
    </w:p>
    <w:p>
      <w:pPr/>
      <w:r>
        <w:rPr>
          <w:rFonts w:ascii="Arial" w:hAnsi="Arial" w:cs="Arial"/>
          <w:sz w:val="24"/>
          <w:sz-cs w:val="24"/>
          <w:b/>
          <w:spacing w:val="0"/>
          <w:color w:val="FFFFFF"/>
        </w:rPr>
        <w:t xml:space="preserve">Protein Target</w:t>
      </w:r>
    </w:p>
    <w:p>
      <w:pPr/>
      <w:r>
        <w:rPr>
          <w:rFonts w:ascii="Arial" w:hAnsi="Arial" w:cs="Arial"/>
          <w:sz w:val="24"/>
          <w:sz-cs w:val="24"/>
          <w:b/>
          <w:spacing w:val="0"/>
          <w:color w:val="FFFFFF"/>
        </w:rPr>
        <w:t xml:space="preserve">Complex / Motor</w:t>
      </w:r>
    </w:p>
    <w:p>
      <w:pPr/>
      <w:r>
        <w:rPr>
          <w:rFonts w:ascii="Arial" w:hAnsi="Arial" w:cs="Arial"/>
          <w:sz w:val="24"/>
          <w:sz-cs w:val="24"/>
          <w:b/>
          <w:spacing w:val="0"/>
          <w:color w:val="FFFFFF"/>
        </w:rPr>
        <w:t xml:space="preserve">Identified / Predicted Sites</w:t>
      </w:r>
    </w:p>
    <w:p>
      <w:pPr/>
      <w:r>
        <w:rPr>
          <w:rFonts w:ascii="Arial" w:hAnsi="Arial" w:cs="Arial"/>
          <w:sz w:val="24"/>
          <w:sz-cs w:val="24"/>
          <w:b/>
          <w:spacing w:val="0"/>
          <w:color w:val="FFFFFF"/>
        </w:rPr>
        <w:t xml:space="preserve">Functional Consequence</w:t>
      </w:r>
    </w:p>
    <w:p>
      <w:pPr/>
      <w:r>
        <w:rPr>
          <w:rFonts w:ascii="Times New Roman" w:hAnsi="Times New Roman" w:cs="Times New Roman"/>
          <w:sz w:val="24"/>
          <w:sz-cs w:val="24"/>
          <w:b/>
          <w:spacing w:val="0"/>
          <w:color w:val="0E0E0E"/>
        </w:rPr>
        <w:t xml:space="preserve">Actin (α/β/γ)</w:t>
      </w:r>
      <w:r>
        <w:rPr>
          <w:rFonts w:ascii="Times New Roman" w:hAnsi="Times New Roman" w:cs="Times New Roman"/>
          <w:sz w:val="24"/>
          <w:sz-cs w:val="24"/>
          <w:spacing w:val="0"/>
          <w:color w:val="0E0E0E"/>
        </w:rPr>
        <w:t xml:space="preserve"/>
      </w:r>
    </w:p>
    <w:p>
      <w:pPr/>
      <w:r>
        <w:rPr>
          <w:rFonts w:ascii="Times New Roman" w:hAnsi="Times New Roman" w:cs="Times New Roman"/>
          <w:sz w:val="24"/>
          <w:sz-cs w:val="24"/>
          <w:spacing w:val="0"/>
          <w:color w:val="0E0E0E"/>
        </w:rPr>
        <w:t xml:space="preserve">Microfilament Core</w:t>
      </w:r>
    </w:p>
    <w:p>
      <w:pPr/>
      <w:r>
        <w:rPr>
          <w:rFonts w:ascii="Times New Roman" w:hAnsi="Times New Roman" w:cs="Times New Roman"/>
          <w:sz w:val="24"/>
          <w:sz-cs w:val="24"/>
          <w:spacing w:val="0"/>
          <w:color w:val="0E0E0E"/>
        </w:rPr>
        <w:t xml:space="preserve">Ser52, Ser54, Thr202, Thr203</w:t>
      </w:r>
    </w:p>
    <w:p>
      <w:pPr/>
      <w:r>
        <w:rPr>
          <w:rFonts w:ascii="Times New Roman" w:hAnsi="Times New Roman" w:cs="Times New Roman"/>
          <w:sz w:val="24"/>
          <w:sz-cs w:val="24"/>
          <w:spacing w:val="0"/>
          <w:color w:val="0E0E0E"/>
        </w:rPr>
        <w:t xml:space="preserve">Regulates G-actin polymerization kinetics</w:t>
      </w:r>
    </w:p>
    <w:p>
      <w:pPr/>
      <w:r>
        <w:rPr>
          <w:rFonts w:ascii="Times New Roman" w:hAnsi="Times New Roman" w:cs="Times New Roman"/>
          <w:sz w:val="24"/>
          <w:sz-cs w:val="24"/>
          <w:b/>
          <w:spacing w:val="0"/>
          <w:color w:val="0E0E0E"/>
        </w:rPr>
        <w:t xml:space="preserve">Myosin Heavy Chain (MYH9)</w:t>
      </w:r>
      <w:r>
        <w:rPr>
          <w:rFonts w:ascii="Times New Roman" w:hAnsi="Times New Roman" w:cs="Times New Roman"/>
          <w:sz w:val="24"/>
          <w:sz-cs w:val="24"/>
          <w:spacing w:val="0"/>
          <w:color w:val="0E0E0E"/>
        </w:rPr>
        <w:t xml:space="preserve"/>
      </w:r>
    </w:p>
    <w:p>
      <w:pPr/>
      <w:r>
        <w:rPr>
          <w:rFonts w:ascii="Times New Roman" w:hAnsi="Times New Roman" w:cs="Times New Roman"/>
          <w:sz w:val="24"/>
          <w:sz-cs w:val="24"/>
          <w:spacing w:val="0"/>
          <w:color w:val="0E0E0E"/>
        </w:rPr>
        <w:t xml:space="preserve">Class II Non-muscle Motor</w:t>
      </w:r>
    </w:p>
    <w:p>
      <w:pPr/>
      <w:r>
        <w:rPr>
          <w:rFonts w:ascii="Times New Roman" w:hAnsi="Times New Roman" w:cs="Times New Roman"/>
          <w:sz w:val="24"/>
          <w:sz-cs w:val="24"/>
          <w:spacing w:val="0"/>
          <w:color w:val="0E0E0E"/>
        </w:rPr>
        <w:t xml:space="preserve">Ser1943, Thr1947</w:t>
      </w:r>
    </w:p>
    <w:p>
      <w:pPr/>
      <w:r>
        <w:rPr>
          <w:rFonts w:ascii="Times New Roman" w:hAnsi="Times New Roman" w:cs="Times New Roman"/>
          <w:sz w:val="24"/>
          <w:sz-cs w:val="24"/>
          <w:spacing w:val="0"/>
          <w:color w:val="0E0E0E"/>
        </w:rPr>
        <w:t xml:space="preserve">Modulates filament assembly &amp; motility</w:t>
      </w:r>
    </w:p>
    <w:p>
      <w:pPr/>
      <w:r>
        <w:rPr>
          <w:rFonts w:ascii="Times New Roman" w:hAnsi="Times New Roman" w:cs="Times New Roman"/>
          <w:sz w:val="24"/>
          <w:sz-cs w:val="24"/>
          <w:b/>
          <w:spacing w:val="0"/>
          <w:color w:val="0E0E0E"/>
        </w:rPr>
        <w:t xml:space="preserve">Myosin XI (Plant)</w:t>
      </w:r>
      <w:r>
        <w:rPr>
          <w:rFonts w:ascii="Times New Roman" w:hAnsi="Times New Roman" w:cs="Times New Roman"/>
          <w:sz w:val="24"/>
          <w:sz-cs w:val="24"/>
          <w:spacing w:val="0"/>
          <w:color w:val="0E0E0E"/>
        </w:rPr>
        <w:t xml:space="preserve"/>
      </w:r>
    </w:p>
    <w:p>
      <w:pPr/>
      <w:r>
        <w:rPr>
          <w:rFonts w:ascii="Times New Roman" w:hAnsi="Times New Roman" w:cs="Times New Roman"/>
          <w:sz w:val="24"/>
          <w:sz-cs w:val="24"/>
          <w:spacing w:val="0"/>
          <w:color w:val="0E0E0E"/>
        </w:rPr>
        <w:t xml:space="preserve">Class XI Matrix Motor</w:t>
      </w:r>
    </w:p>
    <w:p>
      <w:pPr/>
      <w:r>
        <w:rPr>
          <w:rFonts w:ascii="Times New Roman" w:hAnsi="Times New Roman" w:cs="Times New Roman"/>
          <w:sz w:val="24"/>
          <w:sz-cs w:val="24"/>
          <w:spacing w:val="0"/>
          <w:color w:val="0E0E0E"/>
        </w:rPr>
        <w:t xml:space="preserve">Ser892, Thr1120 (Predicted)</w:t>
      </w:r>
    </w:p>
    <w:p>
      <w:pPr/>
      <w:r>
        <w:rPr>
          <w:rFonts w:ascii="Times New Roman" w:hAnsi="Times New Roman" w:cs="Times New Roman"/>
          <w:sz w:val="24"/>
          <w:sz-cs w:val="24"/>
          <w:spacing w:val="0"/>
          <w:color w:val="0E0E0E"/>
        </w:rPr>
        <w:t xml:space="preserve">Post-Golgi matrix vesicle transport rate</w:t>
      </w:r>
    </w:p>
    <w:p>
      <w:pPr/>
      <w:r>
        <w:rPr>
          <w:rFonts w:ascii="Times New Roman" w:hAnsi="Times New Roman" w:cs="Times New Roman"/>
          <w:sz w:val="24"/>
          <w:sz-cs w:val="24"/>
          <w:b/>
          <w:spacing w:val="0"/>
          <w:color w:val="0E0E0E"/>
        </w:rPr>
        <w:t xml:space="preserve">α-Tubulin / β-Tubulin</w:t>
      </w:r>
      <w:r>
        <w:rPr>
          <w:rFonts w:ascii="Times New Roman" w:hAnsi="Times New Roman" w:cs="Times New Roman"/>
          <w:sz w:val="24"/>
          <w:sz-cs w:val="24"/>
          <w:spacing w:val="0"/>
          <w:color w:val="0E0E0E"/>
        </w:rPr>
        <w:t xml:space="preserve"/>
      </w:r>
    </w:p>
    <w:p>
      <w:pPr/>
      <w:r>
        <w:rPr>
          <w:rFonts w:ascii="Times New Roman" w:hAnsi="Times New Roman" w:cs="Times New Roman"/>
          <w:sz w:val="24"/>
          <w:sz-cs w:val="24"/>
          <w:spacing w:val="0"/>
          <w:color w:val="0E0E0E"/>
        </w:rPr>
        <w:t xml:space="preserve">Microtubule Core</w:t>
      </w:r>
    </w:p>
    <w:p>
      <w:pPr/>
      <w:r>
        <w:rPr>
          <w:rFonts w:ascii="Times New Roman" w:hAnsi="Times New Roman" w:cs="Times New Roman"/>
          <w:sz w:val="24"/>
          <w:sz-cs w:val="24"/>
          <w:spacing w:val="0"/>
          <w:color w:val="0E0E0E"/>
        </w:rPr>
        <w:t xml:space="preserve">α: Ser48, Thr136; β: Ser172</w:t>
      </w:r>
    </w:p>
    <w:p>
      <w:pPr/>
      <w:r>
        <w:rPr>
          <w:rFonts w:ascii="Times New Roman" w:hAnsi="Times New Roman" w:cs="Times New Roman"/>
          <w:sz w:val="24"/>
          <w:sz-cs w:val="24"/>
          <w:spacing w:val="0"/>
          <w:color w:val="0E0E0E"/>
        </w:rPr>
        <w:t xml:space="preserve">Regulates MT catastrophe &amp; bundling</w:t>
      </w:r>
    </w:p>
    <w:p>
      <w:pPr/>
      <w:r>
        <w:rPr>
          <w:rFonts w:ascii="Times New Roman" w:hAnsi="Times New Roman" w:cs="Times New Roman"/>
          <w:sz w:val="24"/>
          <w:sz-cs w:val="24"/>
          <w:b/>
          <w:spacing w:val="0"/>
          <w:color w:val="0E0E0E"/>
        </w:rPr>
        <w:t xml:space="preserve">Cytoplasmic Dynein (DYNC1I1)</w:t>
      </w:r>
      <w:r>
        <w:rPr>
          <w:rFonts w:ascii="Times New Roman" w:hAnsi="Times New Roman" w:cs="Times New Roman"/>
          <w:sz w:val="24"/>
          <w:sz-cs w:val="24"/>
          <w:spacing w:val="0"/>
          <w:color w:val="0E0E0E"/>
        </w:rPr>
        <w:t xml:space="preserve"/>
      </w:r>
    </w:p>
    <w:p>
      <w:pPr/>
      <w:r>
        <w:rPr>
          <w:rFonts w:ascii="Times New Roman" w:hAnsi="Times New Roman" w:cs="Times New Roman"/>
          <w:sz w:val="24"/>
          <w:sz-cs w:val="24"/>
          <w:spacing w:val="0"/>
          <w:color w:val="0E0E0E"/>
        </w:rPr>
        <w:t xml:space="preserve">Intermediate Chain</w:t>
      </w:r>
    </w:p>
    <w:p>
      <w:pPr/>
      <w:r>
        <w:rPr>
          <w:rFonts w:ascii="Times New Roman" w:hAnsi="Times New Roman" w:cs="Times New Roman"/>
          <w:sz w:val="24"/>
          <w:sz-cs w:val="24"/>
          <w:spacing w:val="0"/>
          <w:color w:val="0E0E0E"/>
        </w:rPr>
        <w:t xml:space="preserve">Ser80, Ser84, Thr88</w:t>
      </w:r>
    </w:p>
    <w:p>
      <w:pPr/>
      <w:r>
        <w:rPr>
          <w:rFonts w:ascii="Times New Roman" w:hAnsi="Times New Roman" w:cs="Times New Roman"/>
          <w:sz w:val="24"/>
          <w:sz-cs w:val="24"/>
          <w:spacing w:val="0"/>
          <w:color w:val="0E0E0E"/>
        </w:rPr>
        <w:t xml:space="preserve">Modulates dynactin binding &amp; retrograde cargo</w:t>
      </w:r>
    </w:p>
    <w:p>
      <w:pPr/>
      <w:r>
        <w:rPr>
          <w:rFonts w:ascii="Times New Roman" w:hAnsi="Times New Roman" w:cs="Times New Roman"/>
          <w:sz w:val="24"/>
          <w:sz-cs w:val="24"/>
          <w:b/>
          <w:spacing w:val="0"/>
          <w:color w:val="0E0E0E"/>
        </w:rPr>
        <w:t xml:space="preserve">Dynactin Subunit 1 (p150</w:t>
      </w:r>
      <w:r>
        <w:rPr>
          <w:rFonts w:ascii="Times New Roman" w:hAnsi="Times New Roman" w:cs="Times New Roman"/>
          <w:sz w:val="20"/>
          <w:sz-cs w:val="20"/>
          <w:b/>
          <w:vertAlign w:val="superscript"/>
          <w:spacing w:val="0"/>
          <w:color w:val="0E0E0E"/>
        </w:rPr>
        <w:t xml:space="preserve">Glued</w:t>
      </w:r>
      <w:r>
        <w:rPr>
          <w:rFonts w:ascii="Times New Roman" w:hAnsi="Times New Roman" w:cs="Times New Roman"/>
          <w:sz w:val="24"/>
          <w:sz-cs w:val="24"/>
          <w:b/>
          <w:spacing w:val="0"/>
          <w:color w:val="0E0E0E"/>
        </w:rPr>
        <w:t xml:space="preserve">)</w:t>
      </w:r>
      <w:r>
        <w:rPr>
          <w:rFonts w:ascii="Times New Roman" w:hAnsi="Times New Roman" w:cs="Times New Roman"/>
          <w:sz w:val="24"/>
          <w:sz-cs w:val="24"/>
          <w:spacing w:val="0"/>
          <w:color w:val="0E0E0E"/>
        </w:rPr>
        <w:t xml:space="preserve"/>
      </w:r>
    </w:p>
    <w:p>
      <w:pPr/>
      <w:r>
        <w:rPr>
          <w:rFonts w:ascii="Times New Roman" w:hAnsi="Times New Roman" w:cs="Times New Roman"/>
          <w:sz w:val="24"/>
          <w:sz-cs w:val="24"/>
          <w:spacing w:val="0"/>
          <w:color w:val="0E0E0E"/>
        </w:rPr>
        <w:t xml:space="preserve">Dynein Adaptor</w:t>
      </w:r>
    </w:p>
    <w:p>
      <w:pPr/>
      <w:r>
        <w:rPr>
          <w:rFonts w:ascii="Times New Roman" w:hAnsi="Times New Roman" w:cs="Times New Roman"/>
          <w:sz w:val="24"/>
          <w:sz-cs w:val="24"/>
          <w:spacing w:val="0"/>
          <w:color w:val="0E0E0E"/>
        </w:rPr>
        <w:t xml:space="preserve">Ser19, Thr21, Ser128</w:t>
      </w:r>
    </w:p>
    <w:p>
      <w:pPr/>
      <w:r>
        <w:rPr>
          <w:rFonts w:ascii="Times New Roman" w:hAnsi="Times New Roman" w:cs="Times New Roman"/>
          <w:sz w:val="24"/>
          <w:sz-cs w:val="24"/>
          <w:spacing w:val="0"/>
          <w:color w:val="0E0E0E"/>
        </w:rPr>
        <w:t xml:space="preserve">Microtubule plus-end tethering</w:t>
      </w:r>
    </w:p>
    <w:p>
      <w:pPr/>
      <w:r>
        <w:rPr>
          <w:rFonts w:ascii="Times New Roman" w:hAnsi="Times New Roman" w:cs="Times New Roman"/>
          <w:sz w:val="24"/>
          <w:sz-cs w:val="24"/>
          <w:b/>
          <w:spacing w:val="0"/>
          <w:color w:val="0E0E0E"/>
        </w:rPr>
        <w:t xml:space="preserve">Kinesin-1 (KIF5B)</w:t>
      </w:r>
      <w:r>
        <w:rPr>
          <w:rFonts w:ascii="Times New Roman" w:hAnsi="Times New Roman" w:cs="Times New Roman"/>
          <w:sz w:val="24"/>
          <w:sz-cs w:val="24"/>
          <w:spacing w:val="0"/>
          <w:color w:val="0E0E0E"/>
        </w:rPr>
        <w:t xml:space="preserve"/>
      </w:r>
    </w:p>
    <w:p>
      <w:pPr/>
      <w:r>
        <w:rPr>
          <w:rFonts w:ascii="Times New Roman" w:hAnsi="Times New Roman" w:cs="Times New Roman"/>
          <w:sz w:val="24"/>
          <w:sz-cs w:val="24"/>
          <w:spacing w:val="0"/>
          <w:color w:val="0E0E0E"/>
        </w:rPr>
        <w:t xml:space="preserve">Plus-End Motor</w:t>
      </w:r>
    </w:p>
    <w:p>
      <w:pPr/>
      <w:r>
        <w:rPr>
          <w:rFonts w:ascii="Times New Roman" w:hAnsi="Times New Roman" w:cs="Times New Roman"/>
          <w:sz w:val="24"/>
          <w:sz-cs w:val="24"/>
          <w:spacing w:val="0"/>
          <w:color w:val="0E0E0E"/>
        </w:rPr>
        <w:t xml:space="preserve">Ser524, Thr528, Ser916</w:t>
      </w:r>
    </w:p>
    <w:p>
      <w:pPr/>
      <w:r>
        <w:rPr>
          <w:rFonts w:ascii="Times New Roman" w:hAnsi="Times New Roman" w:cs="Times New Roman"/>
          <w:sz w:val="24"/>
          <w:sz-cs w:val="24"/>
          <w:spacing w:val="0"/>
          <w:color w:val="0E0E0E"/>
        </w:rPr>
        <w:t xml:space="preserve">Regulates cargo attachment &amp; auto-inhibition</w:t>
      </w:r>
    </w:p>
    <w:p>
      <w:pPr/>
      <w:r>
        <w:rPr>
          <w:rFonts w:ascii="Times New Roman" w:hAnsi="Times New Roman" w:cs="Times New Roman"/>
          <w:sz w:val="24"/>
          <w:sz-cs w:val="24"/>
          <w:b/>
          <w:spacing w:val="0"/>
          <w:color w:val="0E0E0E"/>
        </w:rPr>
        <w:t xml:space="preserve">Kinesin-4 / FRA1 (Plant)</w:t>
      </w:r>
      <w:r>
        <w:rPr>
          <w:rFonts w:ascii="Times New Roman" w:hAnsi="Times New Roman" w:cs="Times New Roman"/>
          <w:sz w:val="24"/>
          <w:sz-cs w:val="24"/>
          <w:spacing w:val="0"/>
          <w:color w:val="0E0E0E"/>
        </w:rPr>
        <w:t xml:space="preserve"/>
      </w:r>
    </w:p>
    <w:p>
      <w:pPr/>
      <w:r>
        <w:rPr>
          <w:rFonts w:ascii="Times New Roman" w:hAnsi="Times New Roman" w:cs="Times New Roman"/>
          <w:sz w:val="24"/>
          <w:sz-cs w:val="24"/>
          <w:spacing w:val="0"/>
          <w:color w:val="0E0E0E"/>
        </w:rPr>
        <w:t xml:space="preserve">Matrix Vesicle Motor</w:t>
      </w:r>
    </w:p>
    <w:p>
      <w:pPr/>
      <w:r>
        <w:rPr>
          <w:rFonts w:ascii="Times New Roman" w:hAnsi="Times New Roman" w:cs="Times New Roman"/>
          <w:sz w:val="24"/>
          <w:sz-cs w:val="24"/>
          <w:spacing w:val="0"/>
          <w:color w:val="0E0E0E"/>
        </w:rPr>
        <w:t xml:space="preserve">Ser412, Thr680 (Predicted)</w:t>
      </w:r>
    </w:p>
    <w:p>
      <w:pPr/>
      <w:r>
        <w:rPr>
          <w:rFonts w:ascii="Times New Roman" w:hAnsi="Times New Roman" w:cs="Times New Roman"/>
          <w:sz w:val="24"/>
          <w:sz-cs w:val="24"/>
          <w:spacing w:val="0"/>
          <w:color w:val="0E0E0E"/>
        </w:rPr>
        <w:t xml:space="preserve">Directs cellulose microfibril order</w:t>
      </w:r>
    </w:p>
    <w:p>
      <w:pPr/>
      <w:r>
        <w:rPr>
          <w:rFonts w:ascii="Times New Roman" w:hAnsi="Times New Roman" w:cs="Times New Roman"/>
          <w:sz w:val="24"/>
          <w:sz-cs w:val="24"/>
          <w:b/>
          <w:spacing w:val="0"/>
          <w:color w:val="0E0E0E"/>
        </w:rPr>
        <w:t xml:space="preserve">MAP65-1 (Plant)</w:t>
      </w:r>
      <w:r>
        <w:rPr>
          <w:rFonts w:ascii="Times New Roman" w:hAnsi="Times New Roman" w:cs="Times New Roman"/>
          <w:sz w:val="24"/>
          <w:sz-cs w:val="24"/>
          <w:spacing w:val="0"/>
          <w:color w:val="0E0E0E"/>
        </w:rPr>
        <w:t xml:space="preserve"/>
      </w:r>
    </w:p>
    <w:p>
      <w:pPr/>
      <w:r>
        <w:rPr>
          <w:rFonts w:ascii="Times New Roman" w:hAnsi="Times New Roman" w:cs="Times New Roman"/>
          <w:sz w:val="24"/>
          <w:sz-cs w:val="24"/>
          <w:spacing w:val="0"/>
          <w:color w:val="0E0E0E"/>
        </w:rPr>
        <w:t xml:space="preserve">MT Bundler</w:t>
      </w:r>
    </w:p>
    <w:p>
      <w:pPr/>
      <w:r>
        <w:rPr>
          <w:rFonts w:ascii="Times New Roman" w:hAnsi="Times New Roman" w:cs="Times New Roman"/>
          <w:sz w:val="24"/>
          <w:sz-cs w:val="24"/>
          <w:spacing w:val="0"/>
          <w:color w:val="0E0E0E"/>
        </w:rPr>
        <w:t xml:space="preserve">Ser224, Thr410 (Predicted)</w:t>
      </w:r>
    </w:p>
    <w:p>
      <w:pPr/>
      <w:r>
        <w:rPr>
          <w:rFonts w:ascii="Times New Roman" w:hAnsi="Times New Roman" w:cs="Times New Roman"/>
          <w:sz w:val="24"/>
          <w:sz-cs w:val="24"/>
          <w:spacing w:val="0"/>
          <w:color w:val="0E0E0E"/>
        </w:rPr>
        <w:t xml:space="preserve">Mechanical crosslinking of cortical array</w:t>
      </w:r>
    </w:p>
    <w:p>
      <w:pPr/>
      <w:r>
        <w:rPr>
          <w:rFonts w:ascii="Times New Roman" w:hAnsi="Times New Roman" w:cs="Times New Roman"/>
          <w:sz w:val="24"/>
          <w:sz-cs w:val="24"/>
          <w:b/>
          <w:spacing w:val="0"/>
          <w:color w:val="0E0E0E"/>
        </w:rPr>
        <w:t xml:space="preserve">SPIRAL1 / SPR1 (Plant)</w:t>
      </w:r>
      <w:r>
        <w:rPr>
          <w:rFonts w:ascii="Times New Roman" w:hAnsi="Times New Roman" w:cs="Times New Roman"/>
          <w:sz w:val="24"/>
          <w:sz-cs w:val="24"/>
          <w:spacing w:val="0"/>
          <w:color w:val="0E0E0E"/>
        </w:rPr>
        <w:t xml:space="preserve"/>
      </w:r>
    </w:p>
    <w:p>
      <w:pPr/>
      <w:r>
        <w:rPr>
          <w:rFonts w:ascii="Times New Roman" w:hAnsi="Times New Roman" w:cs="Times New Roman"/>
          <w:sz w:val="24"/>
          <w:sz-cs w:val="24"/>
          <w:spacing w:val="0"/>
          <w:color w:val="0E0E0E"/>
        </w:rPr>
        <w:t xml:space="preserve">MT Plus-End Tracker</w:t>
      </w:r>
    </w:p>
    <w:p>
      <w:pPr/>
      <w:r>
        <w:rPr>
          <w:rFonts w:ascii="Times New Roman" w:hAnsi="Times New Roman" w:cs="Times New Roman"/>
          <w:sz w:val="24"/>
          <w:sz-cs w:val="24"/>
          <w:spacing w:val="0"/>
          <w:color w:val="0E0E0E"/>
        </w:rPr>
        <w:t xml:space="preserve">Ser45, Thr72 (SPY/SEC target)</w:t>
      </w:r>
    </w:p>
    <w:p>
      <w:pPr/>
      <w:r>
        <w:rPr>
          <w:rFonts w:ascii="Times New Roman" w:hAnsi="Times New Roman" w:cs="Times New Roman"/>
          <w:sz w:val="24"/>
          <w:sz-cs w:val="24"/>
          <w:spacing w:val="0"/>
          <w:color w:val="0E0E0E"/>
        </w:rPr>
        <w:t xml:space="preserve">Directional expansion &amp; root skewing</w:t>
      </w:r>
    </w:p>
    <w:p>
      <w:pPr/>
      <w:r>
        <w:rPr>
          <w:rFonts w:ascii="Times New Roman" w:hAnsi="Times New Roman" w:cs="Times New Roman"/>
          <w:sz w:val="26"/>
          <w:sz-cs w:val="26"/>
          <w:b/>
          <w:spacing w:val="0"/>
          <w:color w:val="073B60"/>
        </w:rPr>
        <w:t xml:space="preserve">Table 2 | NASA OSDR VEGGIE Hardware Spaceflight Studies Catalog.</w:t>
      </w:r>
    </w:p>
    <w:p>
      <w:pPr/>
      <w:r>
        <w:rPr>
          <w:rFonts w:ascii="Arial" w:hAnsi="Arial" w:cs="Arial"/>
          <w:sz w:val="24"/>
          <w:sz-cs w:val="24"/>
          <w:b/>
          <w:spacing w:val="0"/>
          <w:color w:val="FFFFFF"/>
        </w:rPr>
        <w:t xml:space="preserve">Accession</w:t>
      </w:r>
    </w:p>
    <w:p>
      <w:pPr/>
      <w:r>
        <w:rPr>
          <w:rFonts w:ascii="Arial" w:hAnsi="Arial" w:cs="Arial"/>
          <w:sz w:val="24"/>
          <w:sz-cs w:val="24"/>
          <w:b/>
          <w:spacing w:val="0"/>
          <w:color w:val="FFFFFF"/>
        </w:rPr>
        <w:t xml:space="preserve">Mission</w:t>
      </w:r>
    </w:p>
    <w:p>
      <w:pPr/>
      <w:r>
        <w:rPr>
          <w:rFonts w:ascii="Arial" w:hAnsi="Arial" w:cs="Arial"/>
          <w:sz w:val="24"/>
          <w:sz-cs w:val="24"/>
          <w:b/>
          <w:spacing w:val="0"/>
          <w:color w:val="FFFFFF"/>
        </w:rPr>
        <w:t xml:space="preserve">Organism</w:t>
      </w:r>
    </w:p>
    <w:p>
      <w:pPr/>
      <w:r>
        <w:rPr>
          <w:rFonts w:ascii="Arial" w:hAnsi="Arial" w:cs="Arial"/>
          <w:sz w:val="24"/>
          <w:sz-cs w:val="24"/>
          <w:b/>
          <w:spacing w:val="0"/>
          <w:color w:val="FFFFFF"/>
        </w:rPr>
        <w:t xml:space="preserve">Assay Platform</w:t>
      </w:r>
    </w:p>
    <w:p>
      <w:pPr/>
      <w:r>
        <w:rPr>
          <w:rFonts w:ascii="Arial" w:hAnsi="Arial" w:cs="Arial"/>
          <w:sz w:val="24"/>
          <w:sz-cs w:val="24"/>
          <w:b/>
          <w:spacing w:val="0"/>
          <w:color w:val="FFFFFF"/>
        </w:rPr>
        <w:t xml:space="preserve">Reference DOI</w:t>
      </w:r>
    </w:p>
    <w:p>
      <w:pPr/>
      <w:r>
        <w:rPr>
          <w:rFonts w:ascii="Times New Roman" w:hAnsi="Times New Roman" w:cs="Times New Roman"/>
          <w:sz w:val="24"/>
          <w:sz-cs w:val="24"/>
          <w:b/>
          <w:spacing w:val="0"/>
          <w:color w:val="0E0E0E"/>
        </w:rPr>
        <w:t xml:space="preserve">OSD-615</w:t>
      </w:r>
      <w:r>
        <w:rPr>
          <w:rFonts w:ascii="Times New Roman" w:hAnsi="Times New Roman" w:cs="Times New Roman"/>
          <w:sz w:val="24"/>
          <w:sz-cs w:val="24"/>
          <w:spacing w:val="0"/>
          <w:color w:val="0E0E0E"/>
        </w:rPr>
        <w:t xml:space="preserve"/>
      </w:r>
    </w:p>
    <w:p>
      <w:pPr/>
      <w:r>
        <w:rPr>
          <w:rFonts w:ascii="Times New Roman" w:hAnsi="Times New Roman" w:cs="Times New Roman"/>
          <w:sz w:val="24"/>
          <w:sz-cs w:val="24"/>
          <w:spacing w:val="0"/>
          <w:color w:val="0E0E0E"/>
        </w:rPr>
        <w:t xml:space="preserve">SpaceX CRS-5 (Exp 42)</w:t>
      </w:r>
    </w:p>
    <w:p>
      <w:pPr/>
      <w:r>
        <w:rPr>
          <w:rFonts w:ascii="Times New Roman" w:hAnsi="Times New Roman" w:cs="Times New Roman"/>
          <w:sz w:val="24"/>
          <w:sz-cs w:val="24"/>
          <w:i/>
          <w:spacing w:val="0"/>
          <w:color w:val="0E0E0E"/>
        </w:rPr>
        <w:t xml:space="preserve">Arabidopsis thaliana</w:t>
      </w:r>
      <w:r>
        <w:rPr>
          <w:rFonts w:ascii="Times New Roman" w:hAnsi="Times New Roman" w:cs="Times New Roman"/>
          <w:sz w:val="24"/>
          <w:sz-cs w:val="24"/>
          <w:spacing w:val="0"/>
          <w:color w:val="0E0E0E"/>
        </w:rPr>
        <w:t xml:space="preserve"/>
      </w:r>
    </w:p>
    <w:p>
      <w:pPr/>
      <w:r>
        <w:rPr>
          <w:rFonts w:ascii="Times New Roman" w:hAnsi="Times New Roman" w:cs="Times New Roman"/>
          <w:sz w:val="24"/>
          <w:sz-cs w:val="24"/>
          <w:spacing w:val="0"/>
          <w:color w:val="0E0E0E"/>
        </w:rPr>
        <w:t xml:space="preserve">High-Throughput Glycomics ELISA (155 mAbs) &amp; IHC</w:t>
      </w:r>
    </w:p>
    <w:p>
      <w:pPr/>
      <w:r>
        <w:rPr>
          <w:rFonts w:ascii="Times New Roman" w:hAnsi="Times New Roman" w:cs="Times New Roman"/>
          <w:sz w:val="24"/>
          <w:sz-cs w:val="24"/>
          <w:spacing w:val="0"/>
          <w:color w:val="0E0E0E"/>
        </w:rPr>
        <w:t xml:space="preserve">10.1038/s41526-023-00312-0</w:t>
      </w:r>
    </w:p>
    <w:p>
      <w:pPr/>
      <w:r>
        <w:rPr>
          <w:rFonts w:ascii="Times New Roman" w:hAnsi="Times New Roman" w:cs="Times New Roman"/>
          <w:sz w:val="24"/>
          <w:sz-cs w:val="24"/>
          <w:b/>
          <w:spacing w:val="0"/>
          <w:color w:val="0E0E0E"/>
        </w:rPr>
        <w:t xml:space="preserve">OSD-218</w:t>
      </w:r>
      <w:r>
        <w:rPr>
          <w:rFonts w:ascii="Times New Roman" w:hAnsi="Times New Roman" w:cs="Times New Roman"/>
          <w:sz w:val="24"/>
          <w:sz-cs w:val="24"/>
          <w:spacing w:val="0"/>
          <w:color w:val="0E0E0E"/>
        </w:rPr>
        <w:t xml:space="preserve"/>
      </w:r>
    </w:p>
    <w:p>
      <w:pPr/>
      <w:r>
        <w:rPr>
          <w:rFonts w:ascii="Times New Roman" w:hAnsi="Times New Roman" w:cs="Times New Roman"/>
          <w:sz w:val="24"/>
          <w:sz-cs w:val="24"/>
          <w:spacing w:val="0"/>
          <w:color w:val="0E0E0E"/>
        </w:rPr>
        <w:t xml:space="preserve">SpaceX CRS-5 (Exp 42)</w:t>
      </w:r>
    </w:p>
    <w:p>
      <w:pPr/>
      <w:r>
        <w:rPr>
          <w:rFonts w:ascii="Times New Roman" w:hAnsi="Times New Roman" w:cs="Times New Roman"/>
          <w:sz w:val="24"/>
          <w:sz-cs w:val="24"/>
          <w:i/>
          <w:spacing w:val="0"/>
          <w:color w:val="0E0E0E"/>
        </w:rPr>
        <w:t xml:space="preserve">Arabidopsis thaliana</w:t>
      </w:r>
      <w:r>
        <w:rPr>
          <w:rFonts w:ascii="Times New Roman" w:hAnsi="Times New Roman" w:cs="Times New Roman"/>
          <w:sz w:val="24"/>
          <w:sz-cs w:val="24"/>
          <w:spacing w:val="0"/>
          <w:color w:val="0E0E0E"/>
        </w:rPr>
        <w:t xml:space="preserve"/>
      </w:r>
    </w:p>
    <w:p>
      <w:pPr/>
      <w:r>
        <w:rPr>
          <w:rFonts w:ascii="Times New Roman" w:hAnsi="Times New Roman" w:cs="Times New Roman"/>
          <w:sz w:val="24"/>
          <w:sz-cs w:val="24"/>
          <w:spacing w:val="0"/>
          <w:color w:val="0E0E0E"/>
        </w:rPr>
        <w:t xml:space="preserve">RNA-Seq Transcriptomics (Col-0, Ws, spr1, sku5)</w:t>
      </w:r>
    </w:p>
    <w:p>
      <w:pPr/>
      <w:r>
        <w:rPr>
          <w:rFonts w:ascii="Times New Roman" w:hAnsi="Times New Roman" w:cs="Times New Roman"/>
          <w:sz w:val="24"/>
          <w:sz-cs w:val="24"/>
          <w:spacing w:val="0"/>
          <w:color w:val="0E0E0E"/>
        </w:rPr>
        <w:t xml:space="preserve">10.3389/fpls.2020.00017</w:t>
      </w:r>
    </w:p>
    <w:p>
      <w:pPr/>
      <w:r>
        <w:rPr>
          <w:rFonts w:ascii="Times New Roman" w:hAnsi="Times New Roman" w:cs="Times New Roman"/>
          <w:sz w:val="24"/>
          <w:sz-cs w:val="24"/>
          <w:b/>
          <w:spacing w:val="0"/>
          <w:color w:val="0E0E0E"/>
        </w:rPr>
        <w:t xml:space="preserve">OSD-217</w:t>
      </w:r>
      <w:r>
        <w:rPr>
          <w:rFonts w:ascii="Times New Roman" w:hAnsi="Times New Roman" w:cs="Times New Roman"/>
          <w:sz w:val="24"/>
          <w:sz-cs w:val="24"/>
          <w:spacing w:val="0"/>
          <w:color w:val="0E0E0E"/>
        </w:rPr>
        <w:t xml:space="preserve"/>
      </w:r>
    </w:p>
    <w:p>
      <w:pPr/>
      <w:r>
        <w:rPr>
          <w:rFonts w:ascii="Times New Roman" w:hAnsi="Times New Roman" w:cs="Times New Roman"/>
          <w:sz w:val="24"/>
          <w:sz-cs w:val="24"/>
          <w:spacing w:val="0"/>
          <w:color w:val="0E0E0E"/>
        </w:rPr>
        <w:t xml:space="preserve">SpaceX CRS-5 (Exp 42)</w:t>
      </w:r>
    </w:p>
    <w:p>
      <w:pPr/>
      <w:r>
        <w:rPr>
          <w:rFonts w:ascii="Times New Roman" w:hAnsi="Times New Roman" w:cs="Times New Roman"/>
          <w:sz w:val="24"/>
          <w:sz-cs w:val="24"/>
          <w:i/>
          <w:spacing w:val="0"/>
          <w:color w:val="0E0E0E"/>
        </w:rPr>
        <w:t xml:space="preserve">Arabidopsis thaliana</w:t>
      </w:r>
      <w:r>
        <w:rPr>
          <w:rFonts w:ascii="Times New Roman" w:hAnsi="Times New Roman" w:cs="Times New Roman"/>
          <w:sz w:val="24"/>
          <w:sz-cs w:val="24"/>
          <w:spacing w:val="0"/>
          <w:color w:val="0E0E0E"/>
        </w:rPr>
        <w:t xml:space="preserve"/>
      </w:r>
    </w:p>
    <w:p>
      <w:pPr/>
      <w:r>
        <w:rPr>
          <w:rFonts w:ascii="Times New Roman" w:hAnsi="Times New Roman" w:cs="Times New Roman"/>
          <w:sz w:val="24"/>
          <w:sz-cs w:val="24"/>
          <w:spacing w:val="0"/>
          <w:color w:val="0E0E0E"/>
        </w:rPr>
        <w:t xml:space="preserve">Whole-Genome Bisulfite Sequencing &amp; RNA-Seq</w:t>
      </w:r>
    </w:p>
    <w:p>
      <w:pPr/>
      <w:r>
        <w:rPr>
          <w:rFonts w:ascii="Times New Roman" w:hAnsi="Times New Roman" w:cs="Times New Roman"/>
          <w:sz w:val="24"/>
          <w:sz-cs w:val="24"/>
          <w:spacing w:val="0"/>
          <w:color w:val="0E0E0E"/>
        </w:rPr>
        <w:t xml:space="preserve">10.1038/s42003-019-0361-9</w:t>
      </w:r>
    </w:p>
    <w:p>
      <w:pPr/>
      <w:r>
        <w:rPr>
          <w:rFonts w:ascii="Times New Roman" w:hAnsi="Times New Roman" w:cs="Times New Roman"/>
          <w:sz w:val="24"/>
          <w:sz-cs w:val="24"/>
          <w:b/>
          <w:spacing w:val="0"/>
          <w:color w:val="0E0E0E"/>
        </w:rPr>
        <w:t xml:space="preserve">OSD-416</w:t>
      </w:r>
      <w:r>
        <w:rPr>
          <w:rFonts w:ascii="Times New Roman" w:hAnsi="Times New Roman" w:cs="Times New Roman"/>
          <w:sz w:val="24"/>
          <w:sz-cs w:val="24"/>
          <w:spacing w:val="0"/>
          <w:color w:val="0E0E0E"/>
        </w:rPr>
        <w:t xml:space="preserve"/>
      </w:r>
    </w:p>
    <w:p>
      <w:pPr/>
      <w:r>
        <w:rPr>
          <w:rFonts w:ascii="Times New Roman" w:hAnsi="Times New Roman" w:cs="Times New Roman"/>
          <w:sz w:val="24"/>
          <w:sz-cs w:val="24"/>
          <w:spacing w:val="0"/>
          <w:color w:val="0E0E0E"/>
        </w:rPr>
        <w:t xml:space="preserve">SpaceX CRS-10 (Exp 50)</w:t>
      </w:r>
    </w:p>
    <w:p>
      <w:pPr/>
      <w:r>
        <w:rPr>
          <w:rFonts w:ascii="Times New Roman" w:hAnsi="Times New Roman" w:cs="Times New Roman"/>
          <w:sz w:val="24"/>
          <w:sz-cs w:val="24"/>
          <w:i/>
          <w:spacing w:val="0"/>
          <w:color w:val="0E0E0E"/>
        </w:rPr>
        <w:t xml:space="preserve">Arabidopsis thaliana</w:t>
      </w:r>
      <w:r>
        <w:rPr>
          <w:rFonts w:ascii="Times New Roman" w:hAnsi="Times New Roman" w:cs="Times New Roman"/>
          <w:sz w:val="24"/>
          <w:sz-cs w:val="24"/>
          <w:spacing w:val="0"/>
          <w:color w:val="0E0E0E"/>
        </w:rPr>
        <w:t xml:space="preserve"/>
      </w:r>
    </w:p>
    <w:p>
      <w:pPr/>
      <w:r>
        <w:rPr>
          <w:rFonts w:ascii="Times New Roman" w:hAnsi="Times New Roman" w:cs="Times New Roman"/>
          <w:sz w:val="24"/>
          <w:sz-cs w:val="24"/>
          <w:spacing w:val="0"/>
          <w:color w:val="0E0E0E"/>
        </w:rPr>
        <w:t xml:space="preserve">Bisulfite-Seq &amp; RNA-Seq (elp2-5, met1-7)</w:t>
      </w:r>
    </w:p>
    <w:p>
      <w:pPr/>
      <w:r>
        <w:rPr>
          <w:rFonts w:ascii="Times New Roman" w:hAnsi="Times New Roman" w:cs="Times New Roman"/>
          <w:sz w:val="24"/>
          <w:sz-cs w:val="24"/>
          <w:spacing w:val="0"/>
          <w:color w:val="0E0E0E"/>
        </w:rPr>
        <w:t xml:space="preserve">10.3390/ijms22168581</w:t>
      </w:r>
    </w:p>
    <w:p>
      <w:pPr/>
      <w:r>
        <w:rPr>
          <w:rFonts w:ascii="Times New Roman" w:hAnsi="Times New Roman" w:cs="Times New Roman"/>
          <w:sz w:val="24"/>
          <w:sz-cs w:val="24"/>
          <w:b/>
          <w:spacing w:val="0"/>
          <w:color w:val="0E0E0E"/>
        </w:rPr>
        <w:t xml:space="preserve">OSD-625</w:t>
      </w:r>
      <w:r>
        <w:rPr>
          <w:rFonts w:ascii="Times New Roman" w:hAnsi="Times New Roman" w:cs="Times New Roman"/>
          <w:sz w:val="24"/>
          <w:sz-cs w:val="24"/>
          <w:spacing w:val="0"/>
          <w:color w:val="0E0E0E"/>
        </w:rPr>
        <w:t xml:space="preserve"/>
      </w:r>
    </w:p>
    <w:p>
      <w:pPr/>
      <w:r>
        <w:rPr>
          <w:rFonts w:ascii="Times New Roman" w:hAnsi="Times New Roman" w:cs="Times New Roman"/>
          <w:sz w:val="24"/>
          <w:sz-cs w:val="24"/>
          <w:spacing w:val="0"/>
          <w:color w:val="0E0E0E"/>
        </w:rPr>
        <w:t xml:space="preserve">SpaceX CRS-10 (Exp 50)</w:t>
      </w:r>
    </w:p>
    <w:p>
      <w:pPr/>
      <w:r>
        <w:rPr>
          <w:rFonts w:ascii="Times New Roman" w:hAnsi="Times New Roman" w:cs="Times New Roman"/>
          <w:sz w:val="24"/>
          <w:sz-cs w:val="24"/>
          <w:i/>
          <w:spacing w:val="0"/>
          <w:color w:val="0E0E0E"/>
        </w:rPr>
        <w:t xml:space="preserve">Arabidopsis thaliana</w:t>
      </w:r>
      <w:r>
        <w:rPr>
          <w:rFonts w:ascii="Times New Roman" w:hAnsi="Times New Roman" w:cs="Times New Roman"/>
          <w:sz w:val="24"/>
          <w:sz-cs w:val="24"/>
          <w:spacing w:val="0"/>
          <w:color w:val="0E0E0E"/>
        </w:rPr>
        <w:t xml:space="preserve"/>
      </w:r>
    </w:p>
    <w:p>
      <w:pPr/>
      <w:r>
        <w:rPr>
          <w:rFonts w:ascii="Times New Roman" w:hAnsi="Times New Roman" w:cs="Times New Roman"/>
          <w:sz w:val="24"/>
          <w:sz-cs w:val="24"/>
          <w:spacing w:val="0"/>
          <w:color w:val="0E0E0E"/>
        </w:rPr>
        <w:t xml:space="preserve">PacBio Sequel IIe Targeted Methyl-Seq</w:t>
      </w:r>
    </w:p>
    <w:p>
      <w:pPr/>
      <w:r>
        <w:rPr>
          <w:rFonts w:ascii="Times New Roman" w:hAnsi="Times New Roman" w:cs="Times New Roman"/>
          <w:sz w:val="24"/>
          <w:sz-cs w:val="24"/>
          <w:spacing w:val="0"/>
          <w:color w:val="0E0E0E"/>
        </w:rPr>
        <w:t xml:space="preserve">10.1038/s41526-024-00378-4</w:t>
      </w:r>
    </w:p>
    <w:p>
      <w:pPr>
        <w:spacing w:after="266"/>
      </w:pPr>
      <w:r>
        <w:rPr>
          <w:rFonts w:ascii="Arial" w:hAnsi="Arial" w:cs="Arial"/>
          <w:sz w:val="37"/>
          <w:sz-cs w:val="37"/>
          <w:b/>
          <w:spacing w:val="0"/>
          <w:color w:val="073B60"/>
        </w:rPr>
        <w:t xml:space="preserve">5. Discussion &amp; Conclusions</w:t>
      </w:r>
    </w:p>
    <w:p>
      <w:pPr>
        <w:jc w:val="both"/>
        <w:spacing w:after="266"/>
      </w:pPr>
      <w:r>
        <w:rPr>
          <w:rFonts w:ascii="Times New Roman" w:hAnsi="Times New Roman" w:cs="Times New Roman"/>
          <w:sz w:val="29"/>
          <w:sz-cs w:val="29"/>
          <w:spacing w:val="0"/>
          <w:color w:val="0E0E0E"/>
        </w:rPr>
        <w:t xml:space="preserve">By integrating OSD-615 high-throughput glycome profiling with companion spaceflight transcriptomics, interactome modeling, and dynamic vesicle transport simulations, this study establishes a multi-scale systems biology framework elucidating how physical unweighting reshapes plant cell wall architecture.</w:t>
      </w:r>
    </w:p>
    <w:p>
      <w:pPr>
        <w:jc w:val="both"/>
        <w:spacing w:after="266"/>
      </w:pPr>
      <w:r>
        <w:rPr>
          <w:rFonts w:ascii="Times New Roman" w:hAnsi="Times New Roman" w:cs="Times New Roman"/>
          <w:sz w:val="29"/>
          <w:sz-cs w:val="29"/>
          <w:spacing w:val="0"/>
          <w:color w:val="0E0E0E"/>
        </w:rPr>
        <w:t xml:space="preserve">Our findings demonstrate that microgravity stimulates secondary wall xylan and cellulose synthesis while altering primary wall xyloglucan and AGP organization. This apoplastic remodeling is functionally linked to the transcriptional activation of high-velocity class XI myosins and phragmoplast kinesin motors, operating as a cellular compensatory mechanism against microgravity-induced vesicle transport delays.</w:t>
      </w:r>
    </w:p>
    <w:p>
      <w:pPr>
        <w:spacing w:after="160"/>
      </w:pPr>
      <w:r>
        <w:rPr>
          <w:rFonts w:ascii="Arial" w:hAnsi="Arial" w:cs="Arial"/>
          <w:sz w:val="32"/>
          <w:sz-cs w:val="32"/>
          <w:b/>
          <w:spacing w:val="0"/>
          <w:color w:val="244672"/>
        </w:rPr>
        <w:t xml:space="preserve">Data &amp; Code Availability</w:t>
      </w:r>
    </w:p>
    <w:p>
      <w:pPr>
        <w:jc w:val="both"/>
        <w:spacing w:after="266"/>
      </w:pPr>
      <w:r>
        <w:rPr>
          <w:rFonts w:ascii="Times New Roman" w:hAnsi="Times New Roman" w:cs="Times New Roman"/>
          <w:sz w:val="29"/>
          <w:sz-cs w:val="29"/>
          <w:spacing w:val="0"/>
          <w:color w:val="0E0E0E"/>
        </w:rPr>
        <w:t xml:space="preserve">All datasets and analysis code are open-access in accordance with FAIR data principles. Raw and processed data are deposited in the NASA Open Science Data Repository (OSDR) under accessions OSD-615, OSD-218, and OSD-217. Analysis scripts, simulation models, and the interactive web dashboard are open-source at </w:t>
      </w:r>
      <w:r>
        <w:rPr>
          <w:rFonts w:ascii="Times New Roman" w:hAnsi="Times New Roman" w:cs="Times New Roman"/>
          <w:sz w:val="29"/>
          <w:sz-cs w:val="29"/>
          <w:u w:val="single"/>
          <w:spacing w:val="0"/>
          <w:color w:val="0000E9"/>
        </w:rPr>
        <w:t xml:space="preserve">https://github.com/dr-richard-barker/OSD615-glycome-cytoskeleton-systems-biology</w:t>
      </w:r>
      <w:r>
        <w:rPr>
          <w:rFonts w:ascii="Times New Roman" w:hAnsi="Times New Roman" w:cs="Times New Roman"/>
          <w:sz w:val="29"/>
          <w:sz-cs w:val="29"/>
          <w:spacing w:val="0"/>
          <w:color w:val="0E0E0E"/>
        </w:rPr>
        <w:t xml:space="preserve">. The live interactive dashboard is deployed at </w:t>
      </w:r>
      <w:r>
        <w:rPr>
          <w:rFonts w:ascii="Times New Roman" w:hAnsi="Times New Roman" w:cs="Times New Roman"/>
          <w:sz w:val="29"/>
          <w:sz-cs w:val="29"/>
          <w:u w:val="single"/>
          <w:spacing w:val="0"/>
          <w:color w:val="0000E9"/>
        </w:rPr>
        <w:t xml:space="preserve">https://dr-richard-barker.github.io/OSD615-glycome-cytoskeleton-systems-biology/</w:t>
      </w:r>
      <w:r>
        <w:rPr>
          <w:rFonts w:ascii="Times New Roman" w:hAnsi="Times New Roman" w:cs="Times New Roman"/>
          <w:sz w:val="29"/>
          <w:sz-cs w:val="29"/>
          <w:spacing w:val="0"/>
          <w:color w:val="0E0E0E"/>
        </w:rPr>
        <w:t xml:space="preserve">.</w:t>
      </w:r>
    </w:p>
    <w:p>
      <w:pPr>
        <w:spacing w:after="266"/>
      </w:pPr>
      <w:r>
        <w:rPr>
          <w:rFonts w:ascii="Arial" w:hAnsi="Arial" w:cs="Arial"/>
          <w:sz w:val="37"/>
          <w:sz-cs w:val="37"/>
          <w:b/>
          <w:spacing w:val="0"/>
          <w:color w:val="073B60"/>
        </w:rPr>
        <w:t xml:space="preserve">References</w:t>
      </w:r>
    </w:p>
    <w:p>
      <w:pPr/>
      <w:r>
        <w:rPr>
          <w:rFonts w:ascii="Times New Roman" w:hAnsi="Times New Roman" w:cs="Times New Roman"/>
          <w:sz w:val="24"/>
          <w:sz-cs w:val="24"/>
          <w:spacing w:val="0"/>
          <w:color w:val="0E0E0E"/>
        </w:rPr>
        <w:t xml:space="preserve">1. Nakashima, J., Pattathil, S., Avci, U. et al. Glycome profiling and immunohistochemistry uncover changes in cell walls of Arabidopsis thaliana roots during spaceflight. </w:t>
      </w:r>
      <w:r>
        <w:rPr>
          <w:rFonts w:ascii="Times New Roman" w:hAnsi="Times New Roman" w:cs="Times New Roman"/>
          <w:sz w:val="24"/>
          <w:sz-cs w:val="24"/>
          <w:i/>
          <w:spacing w:val="0"/>
          <w:color w:val="0E0E0E"/>
        </w:rPr>
        <w:t xml:space="preserve">npj Microgravity</w:t>
      </w:r>
      <w:r>
        <w:rPr>
          <w:rFonts w:ascii="Times New Roman" w:hAnsi="Times New Roman" w:cs="Times New Roman"/>
          <w:sz w:val="24"/>
          <w:sz-cs w:val="24"/>
          <w:spacing w:val="0"/>
          <w:color w:val="0E0E0E"/>
        </w:rPr>
        <w:t xml:space="preserve"> </w:t>
      </w:r>
      <w:r>
        <w:rPr>
          <w:rFonts w:ascii="Times New Roman" w:hAnsi="Times New Roman" w:cs="Times New Roman"/>
          <w:sz w:val="24"/>
          <w:sz-cs w:val="24"/>
          <w:b/>
          <w:spacing w:val="0"/>
          <w:color w:val="0E0E0E"/>
        </w:rPr>
        <w:t xml:space="preserve">9</w:t>
      </w:r>
      <w:r>
        <w:rPr>
          <w:rFonts w:ascii="Times New Roman" w:hAnsi="Times New Roman" w:cs="Times New Roman"/>
          <w:sz w:val="24"/>
          <w:sz-cs w:val="24"/>
          <w:spacing w:val="0"/>
          <w:color w:val="0E0E0E"/>
        </w:rPr>
        <w:t xml:space="preserve">, 67 (2023).</w:t>
      </w:r>
    </w:p>
    <w:p>
      <w:pPr/>
      <w:r>
        <w:rPr>
          <w:rFonts w:ascii="Times New Roman" w:hAnsi="Times New Roman" w:cs="Times New Roman"/>
          <w:sz w:val="24"/>
          <w:sz-cs w:val="24"/>
          <w:spacing w:val="0"/>
          <w:color w:val="0E0E0E"/>
        </w:rPr>
        <w:t xml:space="preserve">2. Califar, B., Paul, A.-L. &amp; Ferl, R. J. Root skewing in Arabidopsis spaceflight: Transcriptomics and mutational analysis in the Veggie facility (APEX-03-2). </w:t>
      </w:r>
      <w:r>
        <w:rPr>
          <w:rFonts w:ascii="Times New Roman" w:hAnsi="Times New Roman" w:cs="Times New Roman"/>
          <w:sz w:val="24"/>
          <w:sz-cs w:val="24"/>
          <w:i/>
          <w:spacing w:val="0"/>
          <w:color w:val="0E0E0E"/>
        </w:rPr>
        <w:t xml:space="preserve">Front. Plant Sci.</w:t>
      </w:r>
      <w:r>
        <w:rPr>
          <w:rFonts w:ascii="Times New Roman" w:hAnsi="Times New Roman" w:cs="Times New Roman"/>
          <w:sz w:val="24"/>
          <w:sz-cs w:val="24"/>
          <w:spacing w:val="0"/>
          <w:color w:val="0E0E0E"/>
        </w:rPr>
        <w:t xml:space="preserve"> </w:t>
      </w:r>
      <w:r>
        <w:rPr>
          <w:rFonts w:ascii="Times New Roman" w:hAnsi="Times New Roman" w:cs="Times New Roman"/>
          <w:sz w:val="24"/>
          <w:sz-cs w:val="24"/>
          <w:b/>
          <w:spacing w:val="0"/>
          <w:color w:val="0E0E0E"/>
        </w:rPr>
        <w:t xml:space="preserve">11</w:t>
      </w:r>
      <w:r>
        <w:rPr>
          <w:rFonts w:ascii="Times New Roman" w:hAnsi="Times New Roman" w:cs="Times New Roman"/>
          <w:sz w:val="24"/>
          <w:sz-cs w:val="24"/>
          <w:spacing w:val="0"/>
          <w:color w:val="0E0E0E"/>
        </w:rPr>
        <w:t xml:space="preserve">, 17 (2020).</w:t>
      </w:r>
    </w:p>
    <w:p>
      <w:pPr/>
      <w:r>
        <w:rPr>
          <w:rFonts w:ascii="Times New Roman" w:hAnsi="Times New Roman" w:cs="Times New Roman"/>
          <w:sz w:val="24"/>
          <w:sz-cs w:val="24"/>
          <w:spacing w:val="0"/>
          <w:color w:val="0E0E0E"/>
        </w:rPr>
        <w:t xml:space="preserve">3. Zhou, M., Sng, N. J., LeFrois, C. E. et al. Epigenomics in an extraterrestrial environment: organ-specific alteration of DNA methylation and gene expression elicited by spaceflight in Arabidopsis thaliana. </w:t>
      </w:r>
      <w:r>
        <w:rPr>
          <w:rFonts w:ascii="Times New Roman" w:hAnsi="Times New Roman" w:cs="Times New Roman"/>
          <w:sz w:val="24"/>
          <w:sz-cs w:val="24"/>
          <w:i/>
          <w:spacing w:val="0"/>
          <w:color w:val="0E0E0E"/>
        </w:rPr>
        <w:t xml:space="preserve">Commun. Biol.</w:t>
      </w:r>
      <w:r>
        <w:rPr>
          <w:rFonts w:ascii="Times New Roman" w:hAnsi="Times New Roman" w:cs="Times New Roman"/>
          <w:sz w:val="24"/>
          <w:sz-cs w:val="24"/>
          <w:spacing w:val="0"/>
          <w:color w:val="0E0E0E"/>
        </w:rPr>
        <w:t xml:space="preserve"> </w:t>
      </w:r>
      <w:r>
        <w:rPr>
          <w:rFonts w:ascii="Times New Roman" w:hAnsi="Times New Roman" w:cs="Times New Roman"/>
          <w:sz w:val="24"/>
          <w:sz-cs w:val="24"/>
          <w:b/>
          <w:spacing w:val="0"/>
          <w:color w:val="0E0E0E"/>
        </w:rPr>
        <w:t xml:space="preserve">2</w:t>
      </w:r>
      <w:r>
        <w:rPr>
          <w:rFonts w:ascii="Times New Roman" w:hAnsi="Times New Roman" w:cs="Times New Roman"/>
          <w:sz w:val="24"/>
          <w:sz-cs w:val="24"/>
          <w:spacing w:val="0"/>
          <w:color w:val="0E0E0E"/>
        </w:rPr>
        <w:t xml:space="preserve">, 1–11 (2019).</w:t>
      </w:r>
    </w:p>
    <w:p>
      <w:pPr/>
      <w:r>
        <w:rPr>
          <w:rFonts w:ascii="Times New Roman" w:hAnsi="Times New Roman" w:cs="Times New Roman"/>
          <w:sz w:val="24"/>
          <w:sz-cs w:val="24"/>
          <w:spacing w:val="0"/>
          <w:color w:val="0E0E0E"/>
        </w:rPr>
        <w:t xml:space="preserve">4. Blancaflor, E. B. The cytoskeleton and gravity perception in plants. </w:t>
      </w:r>
      <w:r>
        <w:rPr>
          <w:rFonts w:ascii="Times New Roman" w:hAnsi="Times New Roman" w:cs="Times New Roman"/>
          <w:sz w:val="24"/>
          <w:sz-cs w:val="24"/>
          <w:i/>
          <w:spacing w:val="0"/>
          <w:color w:val="0E0E0E"/>
        </w:rPr>
        <w:t xml:space="preserve">J. Exp. Bot.</w:t>
      </w:r>
      <w:r>
        <w:rPr>
          <w:rFonts w:ascii="Times New Roman" w:hAnsi="Times New Roman" w:cs="Times New Roman"/>
          <w:sz w:val="24"/>
          <w:sz-cs w:val="24"/>
          <w:spacing w:val="0"/>
          <w:color w:val="0E0E0E"/>
        </w:rPr>
        <w:t xml:space="preserve"> </w:t>
      </w:r>
      <w:r>
        <w:rPr>
          <w:rFonts w:ascii="Times New Roman" w:hAnsi="Times New Roman" w:cs="Times New Roman"/>
          <w:sz w:val="24"/>
          <w:sz-cs w:val="24"/>
          <w:b/>
          <w:spacing w:val="0"/>
          <w:color w:val="0E0E0E"/>
        </w:rPr>
        <w:t xml:space="preserve">64</w:t>
      </w:r>
      <w:r>
        <w:rPr>
          <w:rFonts w:ascii="Times New Roman" w:hAnsi="Times New Roman" w:cs="Times New Roman"/>
          <w:sz w:val="24"/>
          <w:sz-cs w:val="24"/>
          <w:spacing w:val="0"/>
          <w:color w:val="0E0E0E"/>
        </w:rPr>
        <w:t xml:space="preserve">, 1969–1979 (2013).</w:t>
      </w:r>
    </w:p>
    <w:p>
      <w:pPr/>
      <w:r>
        <w:rPr>
          <w:rFonts w:ascii="Times New Roman" w:hAnsi="Times New Roman" w:cs="Times New Roman"/>
          <w:sz w:val="24"/>
          <w:sz-cs w:val="24"/>
          <w:spacing w:val="0"/>
          <w:color w:val="0E0E0E"/>
        </w:rPr>
        <w:t xml:space="preserve">5. Cosgrove, D. J. Growth of the plant cell wall. </w:t>
      </w:r>
      <w:r>
        <w:rPr>
          <w:rFonts w:ascii="Times New Roman" w:hAnsi="Times New Roman" w:cs="Times New Roman"/>
          <w:sz w:val="24"/>
          <w:sz-cs w:val="24"/>
          <w:i/>
          <w:spacing w:val="0"/>
          <w:color w:val="0E0E0E"/>
        </w:rPr>
        <w:t xml:space="preserve">Nat. Rev. Mol. Cell Biol.</w:t>
      </w:r>
      <w:r>
        <w:rPr>
          <w:rFonts w:ascii="Times New Roman" w:hAnsi="Times New Roman" w:cs="Times New Roman"/>
          <w:sz w:val="24"/>
          <w:sz-cs w:val="24"/>
          <w:spacing w:val="0"/>
          <w:color w:val="0E0E0E"/>
        </w:rPr>
        <w:t xml:space="preserve"> </w:t>
      </w:r>
      <w:r>
        <w:rPr>
          <w:rFonts w:ascii="Times New Roman" w:hAnsi="Times New Roman" w:cs="Times New Roman"/>
          <w:sz w:val="24"/>
          <w:sz-cs w:val="24"/>
          <w:b/>
          <w:spacing w:val="0"/>
          <w:color w:val="0E0E0E"/>
        </w:rPr>
        <w:t xml:space="preserve">6</w:t>
      </w:r>
      <w:r>
        <w:rPr>
          <w:rFonts w:ascii="Times New Roman" w:hAnsi="Times New Roman" w:cs="Times New Roman"/>
          <w:sz w:val="24"/>
          <w:sz-cs w:val="24"/>
          <w:spacing w:val="0"/>
          <w:color w:val="0E0E0E"/>
        </w:rPr>
        <w:t xml:space="preserve">, 850–861 (2005).</w:t>
      </w:r>
    </w:p>
    <w:p>
      <w:pPr/>
      <w:r>
        <w:rPr>
          <w:rFonts w:ascii="Times New Roman" w:hAnsi="Times New Roman" w:cs="Times New Roman"/>
          <w:sz w:val="24"/>
          <w:sz-cs w:val="24"/>
          <w:spacing w:val="0"/>
          <w:color w:val="0E0E0E"/>
        </w:rPr>
        <w:t xml:space="preserve">6. Somerville, C., Bauer, S., Brininstool, G. et al. Toward a systems approach to understanding plant cell walls. </w:t>
      </w:r>
      <w:r>
        <w:rPr>
          <w:rFonts w:ascii="Times New Roman" w:hAnsi="Times New Roman" w:cs="Times New Roman"/>
          <w:sz w:val="24"/>
          <w:sz-cs w:val="24"/>
          <w:i/>
          <w:spacing w:val="0"/>
          <w:color w:val="0E0E0E"/>
        </w:rPr>
        <w:t xml:space="preserve">Science</w:t>
      </w:r>
      <w:r>
        <w:rPr>
          <w:rFonts w:ascii="Times New Roman" w:hAnsi="Times New Roman" w:cs="Times New Roman"/>
          <w:sz w:val="24"/>
          <w:sz-cs w:val="24"/>
          <w:spacing w:val="0"/>
          <w:color w:val="0E0E0E"/>
        </w:rPr>
        <w:t xml:space="preserve"> </w:t>
      </w:r>
      <w:r>
        <w:rPr>
          <w:rFonts w:ascii="Times New Roman" w:hAnsi="Times New Roman" w:cs="Times New Roman"/>
          <w:sz w:val="24"/>
          <w:sz-cs w:val="24"/>
          <w:b/>
          <w:spacing w:val="0"/>
          <w:color w:val="0E0E0E"/>
        </w:rPr>
        <w:t xml:space="preserve">306</w:t>
      </w:r>
      <w:r>
        <w:rPr>
          <w:rFonts w:ascii="Times New Roman" w:hAnsi="Times New Roman" w:cs="Times New Roman"/>
          <w:sz w:val="24"/>
          <w:sz-cs w:val="24"/>
          <w:spacing w:val="0"/>
          <w:color w:val="0E0E0E"/>
        </w:rPr>
        <w:t xml:space="preserve">, 2206–2211 (2004).</w:t>
      </w:r>
    </w:p>
    <w:p>
      <w:pPr/>
      <w:r>
        <w:rPr>
          <w:rFonts w:ascii="Times New Roman" w:hAnsi="Times New Roman" w:cs="Times New Roman"/>
          <w:sz w:val="24"/>
          <w:sz-cs w:val="24"/>
          <w:spacing w:val="0"/>
          <w:color w:val="0E0E0E"/>
        </w:rPr>
        <w:t xml:space="preserve">7. Paredez, A. R., Somerville, C. R. &amp; Ehrhardt, D. W. Visualization of cellulose synthase demonstrates functional association with microtubules. </w:t>
      </w:r>
      <w:r>
        <w:rPr>
          <w:rFonts w:ascii="Times New Roman" w:hAnsi="Times New Roman" w:cs="Times New Roman"/>
          <w:sz w:val="24"/>
          <w:sz-cs w:val="24"/>
          <w:i/>
          <w:spacing w:val="0"/>
          <w:color w:val="0E0E0E"/>
        </w:rPr>
        <w:t xml:space="preserve">Science</w:t>
      </w:r>
      <w:r>
        <w:rPr>
          <w:rFonts w:ascii="Times New Roman" w:hAnsi="Times New Roman" w:cs="Times New Roman"/>
          <w:sz w:val="24"/>
          <w:sz-cs w:val="24"/>
          <w:spacing w:val="0"/>
          <w:color w:val="0E0E0E"/>
        </w:rPr>
        <w:t xml:space="preserve"> </w:t>
      </w:r>
      <w:r>
        <w:rPr>
          <w:rFonts w:ascii="Times New Roman" w:hAnsi="Times New Roman" w:cs="Times New Roman"/>
          <w:sz w:val="24"/>
          <w:sz-cs w:val="24"/>
          <w:b/>
          <w:spacing w:val="0"/>
          <w:color w:val="0E0E0E"/>
        </w:rPr>
        <w:t xml:space="preserve">312</w:t>
      </w:r>
      <w:r>
        <w:rPr>
          <w:rFonts w:ascii="Times New Roman" w:hAnsi="Times New Roman" w:cs="Times New Roman"/>
          <w:sz w:val="24"/>
          <w:sz-cs w:val="24"/>
          <w:spacing w:val="0"/>
          <w:color w:val="0E0E0E"/>
        </w:rPr>
        <w:t xml:space="preserve">, 1491–1495 (2006).</w:t>
      </w:r>
    </w:p>
    <w:p>
      <w:pPr/>
      <w:r>
        <w:rPr>
          <w:rFonts w:ascii="Times New Roman" w:hAnsi="Times New Roman" w:cs="Times New Roman"/>
          <w:sz w:val="24"/>
          <w:sz-cs w:val="24"/>
          <w:spacing w:val="0"/>
          <w:color w:val="0E0E0E"/>
        </w:rPr>
        <w:t xml:space="preserve">8. Bringmann, M., Li, E., Sampathkumar, A. et al. POM-POM2/CELLULOSE SYNTHASE INTERACTING1 is essential for the functional association of cellulose synthases and microtubules in Arabidopsis. </w:t>
      </w:r>
      <w:r>
        <w:rPr>
          <w:rFonts w:ascii="Times New Roman" w:hAnsi="Times New Roman" w:cs="Times New Roman"/>
          <w:sz w:val="24"/>
          <w:sz-cs w:val="24"/>
          <w:i/>
          <w:spacing w:val="0"/>
          <w:color w:val="0E0E0E"/>
        </w:rPr>
        <w:t xml:space="preserve">Plant Cell</w:t>
      </w:r>
      <w:r>
        <w:rPr>
          <w:rFonts w:ascii="Times New Roman" w:hAnsi="Times New Roman" w:cs="Times New Roman"/>
          <w:sz w:val="24"/>
          <w:sz-cs w:val="24"/>
          <w:spacing w:val="0"/>
          <w:color w:val="0E0E0E"/>
        </w:rPr>
        <w:t xml:space="preserve"> </w:t>
      </w:r>
      <w:r>
        <w:rPr>
          <w:rFonts w:ascii="Times New Roman" w:hAnsi="Times New Roman" w:cs="Times New Roman"/>
          <w:sz w:val="24"/>
          <w:sz-cs w:val="24"/>
          <w:b/>
          <w:spacing w:val="0"/>
          <w:color w:val="0E0E0E"/>
        </w:rPr>
        <w:t xml:space="preserve">24</w:t>
      </w:r>
      <w:r>
        <w:rPr>
          <w:rFonts w:ascii="Times New Roman" w:hAnsi="Times New Roman" w:cs="Times New Roman"/>
          <w:sz w:val="24"/>
          <w:sz-cs w:val="24"/>
          <w:spacing w:val="0"/>
          <w:color w:val="0E0E0E"/>
        </w:rPr>
        <w:t xml:space="preserve">, 163–177 (2012).</w:t>
      </w:r>
    </w:p>
    <w:p>
      <w:pPr/>
      <w:r>
        <w:rPr>
          <w:rFonts w:ascii="Times New Roman" w:hAnsi="Times New Roman" w:cs="Times New Roman"/>
          <w:sz w:val="24"/>
          <w:sz-cs w:val="24"/>
          <w:spacing w:val="0"/>
          <w:color w:val="0E0E0E"/>
        </w:rPr>
        <w:t xml:space="preserve">9. Peremyslov, V. V., Prokhnevsky, A. I. &amp; Dolja, V. V. Myosin XI-K is a major driver of vesicle streaming in Arabidopsis. </w:t>
      </w:r>
      <w:r>
        <w:rPr>
          <w:rFonts w:ascii="Times New Roman" w:hAnsi="Times New Roman" w:cs="Times New Roman"/>
          <w:sz w:val="24"/>
          <w:sz-cs w:val="24"/>
          <w:i/>
          <w:spacing w:val="0"/>
          <w:color w:val="0E0E0E"/>
        </w:rPr>
        <w:t xml:space="preserve">Plant Cell</w:t>
      </w:r>
      <w:r>
        <w:rPr>
          <w:rFonts w:ascii="Times New Roman" w:hAnsi="Times New Roman" w:cs="Times New Roman"/>
          <w:sz w:val="24"/>
          <w:sz-cs w:val="24"/>
          <w:spacing w:val="0"/>
          <w:color w:val="0E0E0E"/>
        </w:rPr>
        <w:t xml:space="preserve"> </w:t>
      </w:r>
      <w:r>
        <w:rPr>
          <w:rFonts w:ascii="Times New Roman" w:hAnsi="Times New Roman" w:cs="Times New Roman"/>
          <w:sz w:val="24"/>
          <w:sz-cs w:val="24"/>
          <w:b/>
          <w:spacing w:val="0"/>
          <w:color w:val="0E0E0E"/>
        </w:rPr>
        <w:t xml:space="preserve">22</w:t>
      </w:r>
      <w:r>
        <w:rPr>
          <w:rFonts w:ascii="Times New Roman" w:hAnsi="Times New Roman" w:cs="Times New Roman"/>
          <w:sz w:val="24"/>
          <w:sz-cs w:val="24"/>
          <w:spacing w:val="0"/>
          <w:color w:val="0E0E0E"/>
        </w:rPr>
        <w:t xml:space="preserve">, 1883–1897 (2010).</w:t>
      </w:r>
    </w:p>
    <w:p>
      <w:pPr/>
      <w:r>
        <w:rPr>
          <w:rFonts w:ascii="Times New Roman" w:hAnsi="Times New Roman" w:cs="Times New Roman"/>
          <w:sz w:val="24"/>
          <w:sz-cs w:val="24"/>
          <w:spacing w:val="0"/>
          <w:color w:val="0E0E0E"/>
        </w:rPr>
        <w:t xml:space="preserve">10. Hart, G. W., Slawson, C., Ramirez-Correa, G. &amp; Lagerlof, O. Cross talk between O-GlcNAcylation and phosphorylation: roles in signaling, transcription, and chronic disease. </w:t>
      </w:r>
      <w:r>
        <w:rPr>
          <w:rFonts w:ascii="Times New Roman" w:hAnsi="Times New Roman" w:cs="Times New Roman"/>
          <w:sz w:val="24"/>
          <w:sz-cs w:val="24"/>
          <w:i/>
          <w:spacing w:val="0"/>
          <w:color w:val="0E0E0E"/>
        </w:rPr>
        <w:t xml:space="preserve">Annu. Rev. Biochem.</w:t>
      </w:r>
      <w:r>
        <w:rPr>
          <w:rFonts w:ascii="Times New Roman" w:hAnsi="Times New Roman" w:cs="Times New Roman"/>
          <w:sz w:val="24"/>
          <w:sz-cs w:val="24"/>
          <w:spacing w:val="0"/>
          <w:color w:val="0E0E0E"/>
        </w:rPr>
        <w:t xml:space="preserve"> </w:t>
      </w:r>
      <w:r>
        <w:rPr>
          <w:rFonts w:ascii="Times New Roman" w:hAnsi="Times New Roman" w:cs="Times New Roman"/>
          <w:sz w:val="24"/>
          <w:sz-cs w:val="24"/>
          <w:b/>
          <w:spacing w:val="0"/>
          <w:color w:val="0E0E0E"/>
        </w:rPr>
        <w:t xml:space="preserve">80</w:t>
      </w:r>
      <w:r>
        <w:rPr>
          <w:rFonts w:ascii="Times New Roman" w:hAnsi="Times New Roman" w:cs="Times New Roman"/>
          <w:sz w:val="24"/>
          <w:sz-cs w:val="24"/>
          <w:spacing w:val="0"/>
          <w:color w:val="0E0E0E"/>
        </w:rPr>
        <w:t xml:space="preserve">, 825–858 (2011).</w:t>
      </w:r>
    </w:p>
    <w:p>
      <w:pPr/>
      <w:r>
        <w:rPr>
          <w:rFonts w:ascii="Times New Roman" w:hAnsi="Times New Roman" w:cs="Times New Roman"/>
          <w:sz w:val="24"/>
          <w:sz-cs w:val="24"/>
          <w:spacing w:val="0"/>
          <w:color w:val="0E0E0E"/>
        </w:rPr>
        <w:t xml:space="preserve">11. Pattathil, S., Avci, U., Baldwin, D. et al. A comprehensive toolkit of plant cell wall glycan-directed monoclonal antibodies. </w:t>
      </w:r>
      <w:r>
        <w:rPr>
          <w:rFonts w:ascii="Times New Roman" w:hAnsi="Times New Roman" w:cs="Times New Roman"/>
          <w:sz w:val="24"/>
          <w:sz-cs w:val="24"/>
          <w:i/>
          <w:spacing w:val="0"/>
          <w:color w:val="0E0E0E"/>
        </w:rPr>
        <w:t xml:space="preserve">Plant Physiol.</w:t>
      </w:r>
      <w:r>
        <w:rPr>
          <w:rFonts w:ascii="Times New Roman" w:hAnsi="Times New Roman" w:cs="Times New Roman"/>
          <w:sz w:val="24"/>
          <w:sz-cs w:val="24"/>
          <w:spacing w:val="0"/>
          <w:color w:val="0E0E0E"/>
        </w:rPr>
        <w:t xml:space="preserve"> </w:t>
      </w:r>
      <w:r>
        <w:rPr>
          <w:rFonts w:ascii="Times New Roman" w:hAnsi="Times New Roman" w:cs="Times New Roman"/>
          <w:sz w:val="24"/>
          <w:sz-cs w:val="24"/>
          <w:b/>
          <w:spacing w:val="0"/>
          <w:color w:val="0E0E0E"/>
        </w:rPr>
        <w:t xml:space="preserve">153</w:t>
      </w:r>
      <w:r>
        <w:rPr>
          <w:rFonts w:ascii="Times New Roman" w:hAnsi="Times New Roman" w:cs="Times New Roman"/>
          <w:sz w:val="24"/>
          <w:sz-cs w:val="24"/>
          <w:spacing w:val="0"/>
          <w:color w:val="0E0E0E"/>
        </w:rPr>
        <w:t xml:space="preserve">, 514–525 (2010).</w:t>
      </w:r>
    </w:p>
    <w:p>
      <w:pPr/>
      <w:r>
        <w:rPr>
          <w:rFonts w:ascii="Times New Roman" w:hAnsi="Times New Roman" w:cs="Times New Roman"/>
          <w:sz w:val="24"/>
          <w:sz-cs w:val="24"/>
          <w:spacing w:val="0"/>
          <w:color w:val="0E0E0E"/>
        </w:rPr>
        <w:t xml:space="preserve">12. Rohart, F., Gautier, B., Singh, A. &amp; Lê Cao, K.-A. mixOmics: An R package for 'omics feature selection and multiple data integration. </w:t>
      </w:r>
      <w:r>
        <w:rPr>
          <w:rFonts w:ascii="Times New Roman" w:hAnsi="Times New Roman" w:cs="Times New Roman"/>
          <w:sz w:val="24"/>
          <w:sz-cs w:val="24"/>
          <w:i/>
          <w:spacing w:val="0"/>
          <w:color w:val="0E0E0E"/>
        </w:rPr>
        <w:t xml:space="preserve">PLoS Comput. Biol.</w:t>
      </w:r>
      <w:r>
        <w:rPr>
          <w:rFonts w:ascii="Times New Roman" w:hAnsi="Times New Roman" w:cs="Times New Roman"/>
          <w:sz w:val="24"/>
          <w:sz-cs w:val="24"/>
          <w:spacing w:val="0"/>
          <w:color w:val="0E0E0E"/>
        </w:rPr>
        <w:t xml:space="preserve"> </w:t>
      </w:r>
      <w:r>
        <w:rPr>
          <w:rFonts w:ascii="Times New Roman" w:hAnsi="Times New Roman" w:cs="Times New Roman"/>
          <w:sz w:val="24"/>
          <w:sz-cs w:val="24"/>
          <w:b/>
          <w:spacing w:val="0"/>
          <w:color w:val="0E0E0E"/>
        </w:rPr>
        <w:t xml:space="preserve">13</w:t>
      </w:r>
      <w:r>
        <w:rPr>
          <w:rFonts w:ascii="Times New Roman" w:hAnsi="Times New Roman" w:cs="Times New Roman"/>
          <w:sz w:val="24"/>
          <w:sz-cs w:val="24"/>
          <w:spacing w:val="0"/>
          <w:color w:val="0E0E0E"/>
        </w:rPr>
        <w:t xml:space="preserve">, e1005752 (2017).</w:t>
      </w:r>
    </w:p>
    <w:p>
      <w:pPr/>
      <w:r>
        <w:rPr>
          <w:rFonts w:ascii="Times New Roman" w:hAnsi="Times New Roman" w:cs="Times New Roman"/>
          <w:sz w:val="24"/>
          <w:sz-cs w:val="24"/>
          <w:spacing w:val="0"/>
          <w:color w:val="0E0E0E"/>
        </w:rPr>
        <w:t xml:space="preserve">13. Szklarczyk, D. et al. STRING v11: protein–protein association networks with increased coverage. </w:t>
      </w:r>
      <w:r>
        <w:rPr>
          <w:rFonts w:ascii="Times New Roman" w:hAnsi="Times New Roman" w:cs="Times New Roman"/>
          <w:sz w:val="24"/>
          <w:sz-cs w:val="24"/>
          <w:i/>
          <w:spacing w:val="0"/>
          <w:color w:val="0E0E0E"/>
        </w:rPr>
        <w:t xml:space="preserve">Nucleic Acids Res.</w:t>
      </w:r>
      <w:r>
        <w:rPr>
          <w:rFonts w:ascii="Times New Roman" w:hAnsi="Times New Roman" w:cs="Times New Roman"/>
          <w:sz w:val="24"/>
          <w:sz-cs w:val="24"/>
          <w:spacing w:val="0"/>
          <w:color w:val="0E0E0E"/>
        </w:rPr>
        <w:t xml:space="preserve"> </w:t>
      </w:r>
      <w:r>
        <w:rPr>
          <w:rFonts w:ascii="Times New Roman" w:hAnsi="Times New Roman" w:cs="Times New Roman"/>
          <w:sz w:val="24"/>
          <w:sz-cs w:val="24"/>
          <w:b/>
          <w:spacing w:val="0"/>
          <w:color w:val="0E0E0E"/>
        </w:rPr>
        <w:t xml:space="preserve">47</w:t>
      </w:r>
      <w:r>
        <w:rPr>
          <w:rFonts w:ascii="Times New Roman" w:hAnsi="Times New Roman" w:cs="Times New Roman"/>
          <w:sz w:val="24"/>
          <w:sz-cs w:val="24"/>
          <w:spacing w:val="0"/>
          <w:color w:val="0E0E0E"/>
        </w:rPr>
        <w:t xml:space="preserve">, D607–D613 (2019).</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CocoaOOXMLWriter/2685.6</generator>
</meta>
</file>