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27.png" ContentType="image/png"/>
  <Override PartName="/word/media/rId31.png" ContentType="image/png"/>
  <Override PartName="/word/media/rId35.png" ContentType="image/png"/>
  <Override PartName="/word/media/rId39.png" ContentType="image/png"/>
  <Override PartName="/word/media/rId43.png" ContentType="image/png"/>
  <Override PartName="/word/media/rId47.png" ContentType="image/png"/>
  <Override PartName="/word/media/rId5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 gas-transport model predicts the</w:t>
      </w:r>
      <w:r>
        <w:t xml:space="preserve"> </w:t>
      </w:r>
      <w:r>
        <w:rPr>
          <w:i/>
          <w:iCs/>
        </w:rPr>
        <w:t xml:space="preserve">Arabidopsis</w:t>
      </w:r>
      <w:r>
        <w:t xml:space="preserve"> </w:t>
      </w:r>
      <w:r>
        <w:t xml:space="preserve">spaceflight</w:t>
      </w:r>
      <w:r>
        <w:t xml:space="preserve"> </w:t>
      </w:r>
      <w:r>
        <w:t xml:space="preserve">transcriptome, and illumination separates six flight contrasts</w:t>
      </w:r>
    </w:p>
    <w:p>
      <w:pPr>
        <w:pStyle w:val="Author"/>
      </w:pPr>
    </w:p>
    <w:bookmarkStart w:id="9" w:name="sec:intro"/>
    <w:p>
      <w:pPr>
        <w:pStyle w:val="Heading1"/>
      </w:pPr>
      <w:r>
        <w:t xml:space="preserve">Introduction</w:t>
      </w:r>
    </w:p>
    <w:p>
      <w:pPr>
        <w:pStyle w:val="FirstParagraph"/>
      </w:pPr>
      <w:r>
        <w:t xml:space="preserve">Interpreting a plant spaceflight experiment means attributing a molecular difference to</w:t>
      </w:r>
      <w:r>
        <w:t xml:space="preserve"> </w:t>
      </w:r>
      <w:r>
        <w:t xml:space="preserve">microgravity. That attribution rests on an assumption that is almost never tested: that the</w:t>
      </w:r>
      <w:r>
        <w:t xml:space="preserve"> </w:t>
      </w:r>
      <w:r>
        <w:t xml:space="preserve">flight and ground arms differ in gravity and in nothing else that matters to metabolism.</w:t>
      </w:r>
    </w:p>
    <w:p>
      <w:pPr>
        <w:pStyle w:val="BodyText"/>
      </w:pPr>
      <w:r>
        <w:t xml:space="preserve">Plants flown on the International Space Station are grown inside enclosures — sealed</w:t>
      </w:r>
      <w:r>
        <w:t xml:space="preserve"> </w:t>
      </w:r>
      <w:r>
        <w:t xml:space="preserve">Petri Dish Fixation Units in BRIC canisters, Petri plates on the cabin wall in CARA, actively</w:t>
      </w:r>
      <w:r>
        <w:t xml:space="preserve"> </w:t>
      </w:r>
      <w:r>
        <w:t xml:space="preserve">ventilated chambers in VEGGIE and the Advanced Plant Habitat. These enclosures differ by</w:t>
      </w:r>
      <w:r>
        <w:t xml:space="preserve"> </w:t>
      </w:r>
      <w:r>
        <w:t xml:space="preserve">orders of magnitude in how freely they exchange gas with the cabin, and to our knowledge no</w:t>
      </w:r>
      <w:r>
        <w:t xml:space="preserve"> </w:t>
      </w:r>
      <w:r>
        <w:t xml:space="preserve">BRIC-class flight has logged the CO</w:t>
      </w:r>
      <m:oMath>
        <m:sSub>
          <m:e>
            <m:r>
              <m:t>​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concentration its plants actually experienced.</w:t>
      </w:r>
    </w:p>
    <w:p>
      <w:pPr>
        <w:pStyle w:val="BodyText"/>
      </w:pPr>
      <w:r>
        <w:t xml:space="preserve">The quantity that matters is not the cabin atmosphere but the CO</w:t>
      </w:r>
      <m:oMath>
        <m:sSub>
          <m:e>
            <m:r>
              <m:t>​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mole fraction reaching</w:t>
      </w:r>
      <w:r>
        <w:t xml:space="preserve"> </w:t>
      </w:r>
      <w:r>
        <w:t xml:space="preserve">Rubisco,</w:t>
      </w:r>
      <w:r>
        <w:t xml:space="preserve"> </w:t>
      </w:r>
      <m:oMath>
        <m:sSub>
          <m:e>
            <m:r>
              <m:t>C</m:t>
            </m:r>
          </m:e>
          <m:sub>
            <m:r>
              <m:t>c</m:t>
            </m:r>
          </m:sub>
        </m:sSub>
      </m:oMath>
      <w:r>
        <w:t xml:space="preserve">, which sits at the end of a chain of conductances: from bulk air across the</w:t>
      </w:r>
      <w:r>
        <w:t xml:space="preserve"> </w:t>
      </w:r>
      <w:r>
        <w:t xml:space="preserve">leaf boundary layer, through the stomata, and through the mesophyll. Only the first of those</w:t>
      </w:r>
      <w:r>
        <w:t xml:space="preserve"> </w:t>
      </w:r>
      <w:r>
        <w:t xml:space="preserve">is gravity-dependent, through buoyancy-driven convection. Rubisco partitions between</w:t>
      </w:r>
      <w:r>
        <w:t xml:space="preserve"> </w:t>
      </w:r>
      <w:r>
        <w:t xml:space="preserve">carboxylation and oxygenation as</w:t>
      </w:r>
      <w:r>
        <w:t xml:space="preserve"> </w:t>
      </w:r>
      <m:oMath>
        <m:sSub>
          <m:e>
            <m:r>
              <m:t>V</m:t>
            </m:r>
          </m:e>
          <m:sub>
            <m:r>
              <m:t>o</m:t>
            </m:r>
          </m:sub>
        </m:sSub>
        <m:r>
          <m:rPr>
            <m:sty m:val="p"/>
          </m:rPr>
          <m:t>/</m:t>
        </m:r>
        <m:sSub>
          <m:e>
            <m:r>
              <m:t>V</m:t>
            </m:r>
          </m:e>
          <m:sub>
            <m:r>
              <m:t>c</m:t>
            </m:r>
          </m:sub>
        </m:sSub>
        <m:r>
          <m:rPr>
            <m:sty m:val="p"/>
          </m:rPr>
          <m:t>=</m:t>
        </m:r>
        <m:r>
          <m:t>2</m:t>
        </m:r>
        <m:sSup>
          <m:e>
            <m:r>
              <m:rPr>
                <m:sty m:val="p"/>
              </m:rPr>
              <m:t>Γ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/</m:t>
        </m:r>
        <m:sSub>
          <m:e>
            <m:r>
              <m:t>C</m:t>
            </m:r>
          </m:e>
          <m:sub>
            <m:r>
              <m:t>c</m:t>
            </m:r>
          </m:sub>
        </m:sSub>
      </m:oMath>
      <w:r>
        <w:t xml:space="preserve"> </w:t>
      </w:r>
      <w:r>
        <w:t xml:space="preserve">(Farquhar et al. 1980)</w:t>
      </w:r>
      <w:r>
        <w:t xml:space="preserve">, so anything</w:t>
      </w:r>
      <w:r>
        <w:t xml:space="preserve"> </w:t>
      </w:r>
      <w:r>
        <w:t xml:space="preserve">that lowers</w:t>
      </w:r>
      <w:r>
        <w:t xml:space="preserve"> </w:t>
      </w:r>
      <m:oMath>
        <m:sSub>
          <m:e>
            <m:r>
              <m:t>C</m:t>
            </m:r>
          </m:e>
          <m:sub>
            <m:r>
              <m:t>c</m:t>
            </m:r>
          </m:sub>
        </m:sSub>
      </m:oMath>
      <w:r>
        <w:t xml:space="preserve"> </w:t>
      </w:r>
      <w:r>
        <w:t xml:space="preserve">raises photorespiration.</w:t>
      </w:r>
    </w:p>
    <w:p>
      <w:pPr>
        <w:pStyle w:val="BodyText"/>
      </w:pPr>
      <w:r>
        <w:t xml:space="preserve">Here we ask a question about the enclosure rather than about gravity, and we ask it of the</w:t>
      </w:r>
      <w:r>
        <w:t xml:space="preserve"> </w:t>
      </w:r>
      <w:r>
        <w:t xml:space="preserve">model before we ask it of any data.</w:t>
      </w:r>
    </w:p>
    <w:bookmarkEnd w:id="9"/>
    <w:bookmarkStart w:id="16" w:name="sec:results"/>
    <w:p>
      <w:pPr>
        <w:pStyle w:val="Heading1"/>
      </w:pPr>
      <w:r>
        <w:t xml:space="preserve">Results</w:t>
      </w:r>
    </w:p>
    <w:bookmarkStart w:id="10" w:name="Xcf59be65615a12ef4d4ce5226bbac13f813b16b"/>
    <w:p>
      <w:pPr>
        <w:pStyle w:val="Heading2"/>
      </w:pPr>
      <w:r>
        <w:t xml:space="preserve">An illuminated sealed canister is a CO</w:t>
      </w:r>
      <m:oMath>
        <m:sSub>
          <m:e>
            <m:r>
              <m:t>​</m:t>
            </m:r>
          </m:e>
          <m:sub>
            <m:r>
              <m:t>2</m:t>
            </m:r>
          </m:sub>
        </m:sSub>
      </m:oMath>
      <w:r>
        <w:t xml:space="preserve">-starvation chamber</w:t>
      </w:r>
    </w:p>
    <w:p>
      <w:pPr>
        <w:pStyle w:val="FirstParagraph"/>
      </w:pPr>
      <w:r>
        <w:t xml:space="preserve">Boundary-layer conductance was taken from LunarLeaf-CFD</w:t>
      </w:r>
      <w:r>
        <w:t xml:space="preserve"> </w:t>
      </w:r>
      <w:r>
        <w:t xml:space="preserve">(Barker, n.d.)</w:t>
      </w:r>
      <w:r>
        <w:t xml:space="preserve">, a</w:t>
      </w:r>
      <w:r>
        <w:t xml:space="preserve"> </w:t>
      </w:r>
      <w:r>
        <w:t xml:space="preserve">lattice-Boltzmann solver validated against four analytical and empirical gates. The enclosure</w:t>
      </w:r>
      <w:r>
        <w:t xml:space="preserve"> </w:t>
      </w:r>
      <w:r>
        <w:t xml:space="preserve">figures come from two simpler models in the same repository, not from that solver. A</w:t>
      </w:r>
      <w:r>
        <w:t xml:space="preserve"> </w:t>
      </w:r>
      <w:r>
        <w:t xml:space="preserve">headspace mass balance, with an assumed 30 mL of air over 3 cm</w:t>
      </w:r>
      <m:oMath>
        <m:sSup>
          <m:e>
            <m:r>
              <m:t>​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of leaf, draws a lit BRIC</w:t>
      </w:r>
      <w:r>
        <w:t xml:space="preserve"> </w:t>
      </w:r>
      <w:r>
        <w:t xml:space="preserve">canister from 400 ppm to near zero in approximately seven minutes; a zero-dimensional</w:t>
      </w:r>
      <w:r>
        <w:t xml:space="preserve"> </w:t>
      </w:r>
      <w:r>
        <w:t xml:space="preserve">photosynthesis-feedback model puts 12 h carbon gain at 1 % of an unenclosed 1 </w:t>
      </w:r>
      <m:oMath>
        <m:r>
          <m:t>g</m:t>
        </m:r>
      </m:oMath>
      <w:r>
        <w:t xml:space="preserve"> </w:t>
      </w:r>
      <w:r>
        <w:t xml:space="preserve">control,</w:t>
      </w:r>
      <w:r>
        <w:t xml:space="preserve"> </w:t>
      </w:r>
      <w:r>
        <w:t xml:space="preserve">against 90 % for a dish sealed with gas-permeable tape of assumed permeance and 100 % when</w:t>
      </w:r>
      <w:r>
        <w:t xml:space="preserve"> </w:t>
      </w:r>
      <w:r>
        <w:t xml:space="preserve">ventilated (Fig. </w:t>
      </w:r>
      <w:hyperlink w:anchor="fig:hardware">
        <w:r>
          <w:rPr>
            <w:rStyle w:val="Hyperlink"/>
          </w:rPr>
          <w:t xml:space="preserve">1</w:t>
        </w:r>
      </w:hyperlink>
      <w:r>
        <w:t xml:space="preserve">).</w:t>
      </w:r>
    </w:p>
    <w:p>
      <w:pPr>
        <w:pStyle w:val="BodyText"/>
      </w:pPr>
      <w:r>
        <w:t xml:space="preserve">The step that matters for interpretation is that this drawdown is a mass balance between</w:t>
      </w:r>
      <w:r>
        <w:t xml:space="preserve"> </w:t>
      </w:r>
      <w:r>
        <w:t xml:space="preserve">photosynthetic uptake and enclosure volume. It is therefore essentially gravity-independent,</w:t>
      </w:r>
      <w:r>
        <w:t xml:space="preserve"> </w:t>
      </w:r>
      <w:r>
        <w:t xml:space="preserve">and it happens in the ground control as much as in flight.</w:t>
      </w:r>
    </w:p>
    <w:bookmarkEnd w:id="10"/>
    <w:bookmarkStart w:id="11" w:name="Xeaf148021f24cbf79b410f4b4e58b47f2026c2d"/>
    <w:p>
      <w:pPr>
        <w:pStyle w:val="Heading2"/>
      </w:pPr>
      <w:r>
        <w:t xml:space="preserve">What that does to Rubisco, and what gravity does not do</w:t>
      </w:r>
    </w:p>
    <w:p>
      <w:pPr>
        <w:pStyle w:val="FirstParagraph"/>
      </w:pPr>
      <w:r>
        <w:t xml:space="preserve">Feeding the boundary-layer conductance into a Farquhar–von Caemmerer–Berry model</w:t>
      </w:r>
      <w:r>
        <w:t xml:space="preserve"> </w:t>
      </w:r>
      <w:r>
        <w:t xml:space="preserve">(Farquhar et al. 1980)</w:t>
      </w:r>
      <w:r>
        <w:t xml:space="preserve"> </w:t>
      </w:r>
      <w:r>
        <w:t xml:space="preserve">with in-vivo Rubisco kinetics</w:t>
      </w:r>
      <w:r>
        <w:t xml:space="preserve"> </w:t>
      </w:r>
      <w:r>
        <w:t xml:space="preserve">(Bernacchi et al. 2001, 2003)</w:t>
      </w:r>
      <w:r>
        <w:t xml:space="preserve">, solved</w:t>
      </w:r>
      <w:r>
        <w:t xml:space="preserve"> </w:t>
      </w:r>
      <w:r>
        <w:t xml:space="preserve">at saturating irradiance (1</w:t>
      </w:r>
      <w:r>
        <w:t xml:space="preserve">,</w:t>
      </w:r>
      <w:r>
        <w:t xml:space="preserve">000 μmol m</w:t>
      </w:r>
      <m:oMath>
        <m:sSup>
          <m:e>
            <m:r>
              <m:t>​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</m:sup>
        </m:sSup>
      </m:oMath>
      <w:r>
        <w:t xml:space="preserve"> s</w:t>
      </w:r>
      <m:oMath>
        <m:sSup>
          <m:e>
            <m:r>
              <m:t>​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), moves</w:t>
      </w:r>
      <w:r>
        <w:t xml:space="preserve"> </w:t>
      </w:r>
      <w:r>
        <w:t xml:space="preserve">the leaf along its CO</w:t>
      </w:r>
      <m:oMath>
        <m:sSub>
          <m:e>
            <m:r>
              <m:t>​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response curve: oxygenation fraction rises from</w:t>
      </w:r>
      <w:r>
        <w:t xml:space="preserve"> </w:t>
      </w:r>
      <w:r>
        <w:t xml:space="preserve">28.5 % in ventilated hardware at ambient CO</w:t>
      </w:r>
      <m:oMath>
        <m:sSub>
          <m:e>
            <m:r>
              <m:t>​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to 53.7 % in a drawn-down canister</w:t>
      </w:r>
      <w:r>
        <w:t xml:space="preserve"> </w:t>
      </w:r>
      <w:r>
        <w:t xml:space="preserve">(Fig. </w:t>
      </w:r>
      <w:hyperlink w:anchor="fig:fvcb">
        <w:r>
          <w:rPr>
            <w:rStyle w:val="Hyperlink"/>
          </w:rPr>
          <w:t xml:space="preserve">2</w:t>
        </w:r>
      </w:hyperlink>
      <w:r>
        <w:t xml:space="preserve">a, Table </w:t>
      </w:r>
      <w:hyperlink w:anchor="tab:operating">
        <w:r>
          <w:rPr>
            <w:rStyle w:val="Hyperlink"/>
          </w:rPr>
          <w:t xml:space="preserve">1</w:t>
        </w:r>
      </w:hyperlink>
      <w:r>
        <w:t xml:space="preserve">). The canister value is an assumption: the</w:t>
      </w:r>
      <w:r>
        <w:t xml:space="preserve"> </w:t>
      </w:r>
      <w:r>
        <w:t xml:space="preserve">sealed arms are placed at 100 ppm, whereas at this light the compensation point is 54 ppm,</w:t>
      </w:r>
      <w:r>
        <w:t xml:space="preserve"> </w:t>
      </w:r>
      <w:r>
        <w:t xml:space="preserve">where the fraction would be 61 %.</w:t>
      </w:r>
    </w:p>
    <w:p>
      <w:pPr>
        <w:pStyle w:val="BodyText"/>
      </w:pPr>
      <w:r>
        <w:t xml:space="preserve">We began from the hypothesis that CO</w:t>
      </w:r>
      <m:oMath>
        <m:sSub>
          <m:e>
            <m:r>
              <m:t>​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starvation would</w:t>
      </w:r>
      <w:r>
        <w:t xml:space="preserve"> </w:t>
      </w:r>
      <w:r>
        <w:rPr>
          <w:i/>
          <w:iCs/>
        </w:rPr>
        <w:t xml:space="preserve">amplify</w:t>
      </w:r>
      <w:r>
        <w:t xml:space="preserve"> </w:t>
      </w:r>
      <w:r>
        <w:t xml:space="preserve">the microgravity</w:t>
      </w:r>
      <w:r>
        <w:t xml:space="preserve"> </w:t>
      </w:r>
      <w:r>
        <w:t xml:space="preserve">boundary-layer penalty. The model says the opposite (Fig. </w:t>
      </w:r>
      <w:hyperlink w:anchor="fig:fvcb">
        <w:r>
          <w:rPr>
            <w:rStyle w:val="Hyperlink"/>
          </w:rPr>
          <w:t xml:space="preserve">2</w:t>
        </w:r>
      </w:hyperlink>
      <w:r>
        <w:t xml:space="preserve">b). As assimilation</w:t>
      </w:r>
      <w:r>
        <w:t xml:space="preserve"> </w:t>
      </w:r>
      <w:r>
        <w:t xml:space="preserve">falls toward the compensation point, the flux through the boundary layer falls with it, so</w:t>
      </w:r>
      <w:r>
        <w:t xml:space="preserve"> </w:t>
      </w:r>
      <w:r>
        <w:t xml:space="preserve">the CO</w:t>
      </w:r>
      <m:oMath>
        <m:sSub>
          <m:e>
            <m:r>
              <m:t>​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drop across that layer,</w:t>
      </w:r>
      <w:r>
        <w:t xml:space="preserve"> </w:t>
      </w:r>
      <m:oMath>
        <m:r>
          <m:t>A</m:t>
        </m:r>
        <m:r>
          <m:rPr>
            <m:sty m:val="p"/>
          </m:rPr>
          <m:t>/</m:t>
        </m:r>
        <m:sSub>
          <m:e>
            <m:r>
              <m:t>g</m:t>
            </m:r>
          </m:e>
          <m:sub>
            <m:r>
              <m:t>b</m:t>
            </m:r>
            <m:r>
              <m:t>l</m:t>
            </m:r>
          </m:sub>
        </m:sSub>
      </m:oMath>
      <w:r>
        <w:t xml:space="preserve">, tends to zero and the two gravities converge.</w:t>
      </w:r>
      <w:r>
        <w:t xml:space="preserve"> </w:t>
      </w:r>
      <w:r>
        <w:t xml:space="preserve">What survives is a persistent proportional assimilation deficit of 5–7 % at leaf scale,</w:t>
      </w:r>
      <w:r>
        <w:t xml:space="preserve"> </w:t>
      </w:r>
      <w:r>
        <w:t xml:space="preserve">7–9 % at rosette scale and 26–29 % in a dense canopy, nearly independent of where in the</w:t>
      </w:r>
      <w:r>
        <w:t xml:space="preserve"> </w:t>
      </w:r>
      <w:r>
        <w:t xml:space="preserve">drawdown the plant sits (Fig. </w:t>
      </w:r>
      <w:hyperlink w:anchor="fig:fvcb">
        <w:r>
          <w:rPr>
            <w:rStyle w:val="Hyperlink"/>
          </w:rPr>
          <w:t xml:space="preserve">2</w:t>
        </w:r>
      </w:hyperlink>
      <w:r>
        <w:t xml:space="preserve">c). That insensitivity is the prediction’s</w:t>
      </w:r>
      <w:r>
        <w:t xml:space="preserve"> </w:t>
      </w:r>
      <w:r>
        <w:t xml:space="preserve">strength: it does not require knowing the canister CO</w:t>
      </w:r>
      <m:oMath>
        <m:sSub>
          <m:e>
            <m:r>
              <m:t>​</m:t>
            </m:r>
          </m:e>
          <m:sub>
            <m:r>
              <m:t>2</m:t>
            </m:r>
          </m:sub>
        </m:sSub>
      </m:oMath>
      <w:r>
        <w:t xml:space="preserve">, which nobody measured. Both the</w:t>
      </w:r>
      <w:r>
        <w:t xml:space="preserve"> </w:t>
      </w:r>
      <w:r>
        <w:t xml:space="preserve">size of the deficit and its insensitivity hold at saturating light only; at the light level</w:t>
      </w:r>
      <w:r>
        <w:t xml:space="preserve"> </w:t>
      </w:r>
      <w:r>
        <w:t xml:space="preserve">of the experiments tested below the deficit is smaller and does depend on CO</w:t>
      </w:r>
      <m:oMath>
        <m:sSub>
          <m:e>
            <m:r>
              <m:t>​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(see</w:t>
      </w:r>
      <w:r>
        <w:t xml:space="preserve"> </w:t>
      </w:r>
      <w:r>
        <w:t xml:space="preserve">Limitations).</w:t>
      </w:r>
    </w:p>
    <w:p>
      <w:pPr>
        <w:pStyle w:val="BodyText"/>
      </w:pPr>
      <w:r>
        <w:t xml:space="preserve">Propagating both contrasts to metabolite pools makes the asymmetry explicit. The</w:t>
      </w:r>
      <w:r>
        <w:t xml:space="preserve"> </w:t>
      </w:r>
      <w:r>
        <w:t xml:space="preserve">sealed-versus-ventilated hardware effect is 22 times the flight-versus-ground effect</w:t>
      </w:r>
      <w:r>
        <w:t xml:space="preserve"> </w:t>
      </w:r>
      <w:r>
        <w:t xml:space="preserve">(Fig. </w:t>
      </w:r>
      <w:hyperlink w:anchor="fig:fvcb">
        <w:r>
          <w:rPr>
            <w:rStyle w:val="Hyperlink"/>
          </w:rPr>
          <w:t xml:space="preserve">2</w:t>
        </w:r>
      </w:hyperlink>
      <w:r>
        <w:t xml:space="preserve">d) — and because it acts on both arms, it cancels.</w:t>
      </w:r>
    </w:p>
    <w:bookmarkEnd w:id="11"/>
    <w:bookmarkStart w:id="12" w:name="a-metabolite-layer-that-does-not-exist"/>
    <w:p>
      <w:pPr>
        <w:pStyle w:val="Heading2"/>
      </w:pPr>
      <w:r>
        <w:t xml:space="preserve">A metabolite layer that does not exist</w:t>
      </w:r>
    </w:p>
    <w:p>
      <w:pPr>
        <w:pStyle w:val="FirstParagraph"/>
      </w:pPr>
      <w:r>
        <w:t xml:space="preserve">Pathway-level integration needs a metabolome. We queried all 567 OSDR studies and</w:t>
      </w:r>
      <w:r>
        <w:t xml:space="preserve"> </w:t>
      </w:r>
      <w:r>
        <w:t xml:space="preserve">cross-tabulated organism against assay type: twelve are metabolite profiling, and every one</w:t>
      </w:r>
      <w:r>
        <w:t xml:space="preserve"> </w:t>
      </w:r>
      <w:r>
        <w:t xml:space="preserve">is mouse, human, rat or microbial.</w:t>
      </w:r>
      <w:r>
        <w:t xml:space="preserve"> </w:t>
      </w:r>
      <w:r>
        <w:rPr>
          <w:b/>
          <w:bCs/>
        </w:rPr>
        <w:t xml:space="preserve">No plant study has a metabolome.</w:t>
      </w:r>
    </w:p>
    <w:p>
      <w:pPr>
        <w:pStyle w:val="BodyText"/>
      </w:pPr>
      <w:r>
        <w:t xml:space="preserve">We therefore predicted one (Fig. </w:t>
      </w:r>
      <w:hyperlink w:anchor="fig:metabolome">
        <w:r>
          <w:rPr>
            <w:rStyle w:val="Hyperlink"/>
          </w:rPr>
          <w:t xml:space="preserve">3</w:t>
        </w:r>
      </w:hyperlink>
      <w:r>
        <w:t xml:space="preserve">), propagating the modelled fluxes to 21</w:t>
      </w:r>
      <w:r>
        <w:t xml:space="preserve"> </w:t>
      </w:r>
      <w:r>
        <w:t xml:space="preserve">compounds under one stated assumption — that at quasi-steady state a pool tracks the flux</w:t>
      </w:r>
      <w:r>
        <w:t xml:space="preserve"> </w:t>
      </w:r>
      <w:r>
        <w:t xml:space="preserve">feeding it. Every value is labelled as model output in every file. Compounds the model cannot</w:t>
      </w:r>
      <w:r>
        <w:t xml:space="preserve"> </w:t>
      </w:r>
      <w:r>
        <w:t xml:space="preserve">speak to, including all tricarboxylic-acid intermediates and all fermentation products, are</w:t>
      </w:r>
      <w:r>
        <w:t xml:space="preserve"> </w:t>
      </w:r>
      <w:r>
        <w:t xml:space="preserve">excluded with the reason recorded rather than filled in.</w:t>
      </w:r>
    </w:p>
    <w:bookmarkEnd w:id="12"/>
    <w:bookmarkStart w:id="13" w:name="X9a61d216b4f71f8d43950743062e6ccb0c5e9b5"/>
    <w:p>
      <w:pPr>
        <w:pStyle w:val="Heading2"/>
      </w:pPr>
      <w:r>
        <w:t xml:space="preserve">The model called eight of nine transcriptome gene sets</w:t>
      </w:r>
    </w:p>
    <w:p>
      <w:pPr>
        <w:pStyle w:val="FirstParagraph"/>
      </w:pPr>
      <w:r>
        <w:t xml:space="preserve">OSD-522</w:t>
      </w:r>
      <w:r>
        <w:t xml:space="preserve"> </w:t>
      </w:r>
      <w:r>
        <w:t xml:space="preserve">(</w:t>
      </w:r>
      <w:r>
        <w:rPr>
          <w:i/>
          <w:iCs/>
        </w:rPr>
        <w:t xml:space="preserve">Integrative Transcriptomics and Proteomics Profiling of</w:t>
      </w:r>
      <w:r>
        <w:rPr>
          <w:i/>
          <w:iCs/>
        </w:rPr>
        <w:t xml:space="preserve"> </w:t>
      </w:r>
      <w:r>
        <w:rPr>
          <w:i/>
          <w:i/>
          <w:iCs/>
          <w:iCs/>
        </w:rPr>
        <w:t xml:space="preserve">Arabidopsis Thaliana</w:t>
      </w:r>
      <w:r>
        <w:rPr>
          <w:i/>
          <w:iCs/>
        </w:rPr>
        <w:t xml:space="preserve"> </w:t>
      </w:r>
      <w:r>
        <w:rPr>
          <w:i/>
          <w:iCs/>
        </w:rPr>
        <w:t xml:space="preserve">Elucidates Novel Mechanisms Underlying Spaceflight Adaptation</w:t>
      </w:r>
      <w:r>
        <w:t xml:space="preserve"> </w:t>
      </w:r>
      <w:r>
        <w:t xml:space="preserve">2024)</w:t>
      </w:r>
      <w:r>
        <w:t xml:space="preserve"> </w:t>
      </w:r>
      <w:r>
        <w:t xml:space="preserve">grew</w:t>
      </w:r>
      <w:r>
        <w:t xml:space="preserve"> </w:t>
      </w:r>
      <w:r>
        <w:rPr>
          <w:i/>
          <w:iCs/>
        </w:rPr>
        <w:t xml:space="preserve">Arabidopsis</w:t>
      </w:r>
      <w:r>
        <w:t xml:space="preserve"> </w:t>
      </w:r>
      <w:r>
        <w:t xml:space="preserve">in BRIC-LED hardware under 60 μmol</w:t>
      </w:r>
      <w:r>
        <w:t xml:space="preserve"> </w:t>
      </w:r>
      <w:r>
        <w:t xml:space="preserve">m</w:t>
      </w:r>
      <m:oMath>
        <m:sSup>
          <m:e>
            <m:r>
              <m:t>​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</m:sup>
        </m:sSup>
      </m:oMath>
      <w:r>
        <w:t xml:space="preserve"> s</w:t>
      </w:r>
      <m:oMath>
        <m:sSup>
          <m:e>
            <m:r>
              <m:t>​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of red and blue light, with six flight and six ground-control shoot</w:t>
      </w:r>
      <w:r>
        <w:t xml:space="preserve"> </w:t>
      </w:r>
      <w:r>
        <w:t xml:space="preserve">samples. We computed differential expression with PyDESeq2</w:t>
      </w:r>
      <w:r>
        <w:t xml:space="preserve"> </w:t>
      </w:r>
      <w:r>
        <w:t xml:space="preserve">(Muzellec et al. 2023)</w:t>
      </w:r>
      <w:r>
        <w:t xml:space="preserve">, obtaining 1</w:t>
      </w:r>
      <w:r>
        <w:t xml:space="preserve">,</w:t>
      </w:r>
      <w:r>
        <w:t xml:space="preserve">795</w:t>
      </w:r>
      <w:r>
        <w:t xml:space="preserve"> </w:t>
      </w:r>
      <w:r>
        <w:t xml:space="preserve">genes at FDR</w:t>
      </w:r>
      <w:r>
        <w:t xml:space="preserve"> </w:t>
      </w:r>
      <m:oMath>
        <m:r>
          <m:rPr>
            <m:sty m:val="p"/>
          </m:rPr>
          <m:t>&lt;</m:t>
        </m:r>
        <m:r>
          <m:t>0.05</m:t>
        </m:r>
      </m:oMath>
      <w:r>
        <w:t xml:space="preserve"> </w:t>
      </w:r>
      <w:r>
        <w:t xml:space="preserve">from 19</w:t>
      </w:r>
      <w:r>
        <w:t xml:space="preserve">,</w:t>
      </w:r>
      <w:r>
        <w:t xml:space="preserve">325 with an adjusted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(20</w:t>
      </w:r>
      <w:r>
        <w:t xml:space="preserve">,</w:t>
      </w:r>
      <w:r>
        <w:t xml:space="preserve">983 measured), and used the deposited proteomics ratios for 5</w:t>
      </w:r>
      <w:r>
        <w:t xml:space="preserve">,</w:t>
      </w:r>
      <w:r>
        <w:t xml:space="preserve">160</w:t>
      </w:r>
      <w:r>
        <w:t xml:space="preserve"> </w:t>
      </w:r>
      <w:r>
        <w:t xml:space="preserve">proteins (Fig. </w:t>
      </w:r>
      <w:hyperlink w:anchor="fig:omics">
        <w:r>
          <w:rPr>
            <w:rStyle w:val="Hyperlink"/>
          </w:rPr>
          <w:t xml:space="preserve">4</w:t>
        </w:r>
      </w:hyperlink>
      <w:r>
        <w:t xml:space="preserve">).</w:t>
      </w:r>
    </w:p>
    <w:p>
      <w:pPr>
        <w:pStyle w:val="BodyText"/>
      </w:pPr>
      <w:r>
        <w:t xml:space="preserve">Scoring these against KEGG-derived gene sets (Fig. </w:t>
      </w:r>
      <w:hyperlink w:anchor="fig:blind">
        <w:r>
          <w:rPr>
            <w:rStyle w:val="Hyperlink"/>
          </w:rPr>
          <w:t xml:space="preserve">5</w:t>
        </w:r>
      </w:hyperlink>
      <w:r>
        <w:t xml:space="preserve">), the model’s predictions</w:t>
      </w:r>
      <w:r>
        <w:t xml:space="preserve"> </w:t>
      </w:r>
      <w:r>
        <w:t xml:space="preserve">held for eight of nine sets: the photosystem and light-harvesting apparatus fell</w:t>
      </w:r>
      <w:r>
        <w:t xml:space="preserve"> </w:t>
      </w:r>
      <w:r>
        <w:t xml:space="preserve">(</w:t>
      </w:r>
      <m:oMath>
        <m:r>
          <m:rPr>
            <m:sty m:val="p"/>
          </m:rPr>
          <m:t>−</m:t>
        </m:r>
        <m:r>
          <m:t>0.238</m:t>
        </m:r>
      </m:oMath>
      <w:r>
        <w:t xml:space="preserve">,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3.8</m:t>
        </m:r>
        <m:r>
          <m:rPr>
            <m:sty m:val="p"/>
          </m:rPr>
          <m:t>×</m:t>
        </m:r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6</m:t>
            </m:r>
          </m:sup>
        </m:sSup>
      </m:oMath>
      <w:r>
        <w:t xml:space="preserve">; and in the proteome</w:t>
      </w:r>
      <w:r>
        <w:t xml:space="preserve"> </w:t>
      </w:r>
      <m:oMath>
        <m:r>
          <m:rPr>
            <m:sty m:val="p"/>
          </m:rPr>
          <m:t>−</m:t>
        </m:r>
        <m:r>
          <m:t>0.820</m:t>
        </m:r>
      </m:oMath>
      <w:r>
        <w:t xml:space="preserve">,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5.0</m:t>
        </m:r>
        <m:r>
          <m:rPr>
            <m:sty m:val="p"/>
          </m:rPr>
          <m:t>×</m:t>
        </m:r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4</m:t>
            </m:r>
          </m:sup>
        </m:sSup>
      </m:oMath>
      <w:r>
        <w:t xml:space="preserve">),</w:t>
      </w:r>
      <w:r>
        <w:t xml:space="preserve"> </w:t>
      </w:r>
      <w:r>
        <w:t xml:space="preserve">Rubisco fell (</w:t>
      </w:r>
      <m:oMath>
        <m:r>
          <m:rPr>
            <m:sty m:val="p"/>
          </m:rPr>
          <m:t>−</m:t>
        </m:r>
        <m:r>
          <m:t>0.403</m:t>
        </m:r>
      </m:oMath>
      <w:r>
        <w:t xml:space="preserve">,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4.5</m:t>
        </m:r>
        <m:r>
          <m:rPr>
            <m:sty m:val="p"/>
          </m:rPr>
          <m:t>×</m:t>
        </m:r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3</m:t>
            </m:r>
          </m:sup>
        </m:sSup>
      </m:oMath>
      <w:r>
        <w:t xml:space="preserve">), carbon fixation and starch/sucrose</w:t>
      </w:r>
      <w:r>
        <w:t xml:space="preserve"> </w:t>
      </w:r>
      <w:r>
        <w:t xml:space="preserve">metabolism fell, carbon-starvation DIN markers rose (</w:t>
      </w:r>
      <m:oMath>
        <m:r>
          <m:rPr>
            <m:sty m:val="p"/>
          </m:rPr>
          <m:t>+</m:t>
        </m:r>
        <m:r>
          <m:t>0.685</m:t>
        </m:r>
      </m:oMath>
      <w:r>
        <w:t xml:space="preserve">,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2.6</m:t>
        </m:r>
        <m:r>
          <m:rPr>
            <m:sty m:val="p"/>
          </m:rPr>
          <m:t>×</m:t>
        </m:r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3</m:t>
            </m:r>
          </m:sup>
        </m:sSup>
      </m:oMath>
      <w:r>
        <w:t xml:space="preserve">), and</w:t>
      </w:r>
      <w:r>
        <w:t xml:space="preserve"> </w:t>
      </w:r>
      <w:r>
        <w:t xml:space="preserve">photorespiratory enzymes were not induced. The one mismatch is the whole KEGG glyoxylate and</w:t>
      </w:r>
      <w:r>
        <w:t xml:space="preserve"> </w:t>
      </w:r>
      <w:r>
        <w:t xml:space="preserve">dicarboxylate map, which contains a good deal besides the C</w:t>
      </w:r>
      <m:oMath>
        <m:sSub>
          <m:e>
            <m:r>
              <m:t>​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cycle. Three of the eight</w:t>
      </w:r>
      <w:r>
        <w:t xml:space="preserve"> </w:t>
      </w:r>
      <w:r>
        <w:t xml:space="preserve">matches are sets predicted not to change, which pass by not reaching</w:t>
      </w:r>
      <w:r>
        <w:t xml:space="preserve"> </w:t>
      </w:r>
      <m:oMath>
        <m:r>
          <m:t>p</m:t>
        </m:r>
        <m:r>
          <m:rPr>
            <m:sty m:val="p"/>
          </m:rPr>
          <m:t>&lt;</m:t>
        </m:r>
        <m:r>
          <m:t>0.05</m:t>
        </m:r>
      </m:oMath>
      <w:r>
        <w:t xml:space="preserve">, on three to</w:t>
      </w:r>
      <w:r>
        <w:t xml:space="preserve"> </w:t>
      </w:r>
      <w:r>
        <w:t xml:space="preserve">thirteen genes each. In the proteome the predictions held for four of seven testable sets:</w:t>
      </w:r>
      <w:r>
        <w:t xml:space="preserve"> </w:t>
      </w:r>
      <w:r>
        <w:t xml:space="preserve">carbon fixation, starch/sucrose and Rubisco did not fall significantly.</w:t>
      </w:r>
    </w:p>
    <w:p>
      <w:pPr>
        <w:pStyle w:val="BodyText"/>
      </w:pPr>
      <w:r>
        <w:t xml:space="preserve">The sharper test is between sets, which is immune to the global depression of metabolic</w:t>
      </w:r>
      <w:r>
        <w:t xml:space="preserve"> </w:t>
      </w:r>
      <w:r>
        <w:t xml:space="preserve">transcripts: photorespiratory enzymes sat above Rubisco in the transcriptome</w:t>
      </w:r>
      <w:r>
        <w:t xml:space="preserve"> </w:t>
      </w:r>
      <w:r>
        <w:t xml:space="preserve">(</w:t>
      </w:r>
      <m:oMath>
        <m:r>
          <m:rPr>
            <m:sty m:val="p"/>
          </m:rPr>
          <m:t>+</m:t>
        </m:r>
        <m:r>
          <m:t>0.239</m:t>
        </m:r>
      </m:oMath>
      <w:r>
        <w:t xml:space="preserve">,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6.8</m:t>
        </m:r>
        <m:r>
          <m:rPr>
            <m:sty m:val="p"/>
          </m:rPr>
          <m:t>×</m:t>
        </m:r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3</m:t>
            </m:r>
          </m:sup>
        </m:sSup>
      </m:oMath>
      <w:r>
        <w:t xml:space="preserve">) and independently in the proteome</w:t>
      </w:r>
      <w:r>
        <w:t xml:space="preserve"> </w:t>
      </w:r>
      <w:r>
        <w:t xml:space="preserve">(</w:t>
      </w:r>
      <m:oMath>
        <m:r>
          <m:rPr>
            <m:sty m:val="p"/>
          </m:rPr>
          <m:t>+</m:t>
        </m:r>
        <m:r>
          <m:t>0.285</m:t>
        </m:r>
      </m:oMath>
      <w:r>
        <w:t xml:space="preserve">,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4.9</m:t>
        </m:r>
        <m:r>
          <m:rPr>
            <m:sty m:val="p"/>
          </m:rPr>
          <m:t>×</m:t>
        </m:r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</m:sup>
        </m:sSup>
      </m:oMath>
      <w:r>
        <w:t xml:space="preserve">). The third set-versus-set test, photorespiration against</w:t>
      </w:r>
      <w:r>
        <w:t xml:space="preserve"> </w:t>
      </w:r>
      <w:r>
        <w:t xml:space="preserve">carbon fixation as whole KEGG maps, showed no signal in either layer (</w:t>
      </w:r>
      <m:oMath>
        <m:r>
          <m:rPr>
            <m:sty m:val="p"/>
          </m:rPr>
          <m:t>−</m:t>
        </m:r>
        <m:r>
          <m:t>0.020</m:t>
        </m:r>
      </m:oMath>
      <w:r>
        <w:t xml:space="preserve">,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0.95</m:t>
        </m:r>
      </m:oMath>
      <w:r>
        <w:t xml:space="preserve">;</w:t>
      </w:r>
      <w:r>
        <w:t xml:space="preserve"> </w:t>
      </w:r>
      <m:oMath>
        <m:r>
          <m:rPr>
            <m:sty m:val="p"/>
          </m:rPr>
          <m:t>+</m:t>
        </m:r>
        <m:r>
          <m:t>0.030</m:t>
        </m:r>
      </m:oMath>
      <w:r>
        <w:t xml:space="preserve">,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0.82</m:t>
        </m:r>
      </m:oMath>
      <w:r>
        <w:t xml:space="preserve">).</w:t>
      </w:r>
    </w:p>
    <w:bookmarkEnd w:id="13"/>
    <w:bookmarkStart w:id="14" w:name="Xd835e0d18823e5b7ce6c4f38766cad0e02421dd"/>
    <w:p>
      <w:pPr>
        <w:pStyle w:val="Heading2"/>
      </w:pPr>
      <w:r>
        <w:t xml:space="preserve">Pathway integration puts photorespiration in the bottom 8 %</w:t>
      </w:r>
    </w:p>
    <w:p>
      <w:pPr>
        <w:pStyle w:val="FirstParagraph"/>
      </w:pPr>
      <w:r>
        <w:t xml:space="preserve">Submitting all three layers to PaintOmics</w:t>
      </w:r>
      <w:r>
        <w:t xml:space="preserve"> </w:t>
      </w:r>
      <w:r>
        <w:t xml:space="preserve">(Liu et al. 2022)</w:t>
      </w:r>
      <w:r>
        <w:t xml:space="preserve"> </w:t>
      </w:r>
      <w:r>
        <w:t xml:space="preserve">against KEGG and MapMan</w:t>
      </w:r>
      <w:r>
        <w:t xml:space="preserve"> </w:t>
      </w:r>
      <w:r>
        <w:t xml:space="preserve">(Fig. </w:t>
      </w:r>
      <w:hyperlink w:anchor="fig:paintomics">
        <w:r>
          <w:rPr>
            <w:rStyle w:val="Hyperlink"/>
          </w:rPr>
          <w:t xml:space="preserve">6</w:t>
        </w:r>
      </w:hyperlink>
      <w:r>
        <w:t xml:space="preserve">), 97–100 % of genes, 97 % of proteins and all 21 predicted</w:t>
      </w:r>
      <w:r>
        <w:t xml:space="preserve"> </w:t>
      </w:r>
      <w:r>
        <w:t xml:space="preserve">compounds mapped. Of 232 pathways tested, 32 reached combined Fisher</w:t>
      </w:r>
      <w:r>
        <w:t xml:space="preserve"> </w:t>
      </w:r>
      <m:oMath>
        <m:r>
          <m:t>p</m:t>
        </m:r>
        <m:r>
          <m:rPr>
            <m:sty m:val="p"/>
          </m:rPr>
          <m:t>&lt;</m:t>
        </m:r>
        <m:r>
          <m:t>0.05</m:t>
        </m:r>
      </m:oMath>
      <w:r>
        <w:t xml:space="preserve"> </w:t>
      </w:r>
      <w:r>
        <w:t xml:space="preserve">uncorrected,</w:t>
      </w:r>
      <w:r>
        <w:t xml:space="preserve"> </w:t>
      </w:r>
      <w:r>
        <w:t xml:space="preserve">including photosynthesis (</w:t>
      </w:r>
      <m:oMath>
        <m:r>
          <m:t>p</m:t>
        </m:r>
        <m:r>
          <m:rPr>
            <m:sty m:val="p"/>
          </m:rPr>
          <m:t>=</m:t>
        </m:r>
        <m:r>
          <m:t>0.008</m:t>
        </m:r>
      </m:oMath>
      <w:r>
        <w:t xml:space="preserve">), photosynthesis antenna proteins (</w:t>
      </w:r>
      <m:oMath>
        <m:r>
          <m:t>p</m:t>
        </m:r>
        <m:r>
          <m:rPr>
            <m:sty m:val="p"/>
          </m:rPr>
          <m:t>=</m:t>
        </m:r>
        <m:r>
          <m:t>0.022</m:t>
        </m:r>
      </m:oMath>
      <w:r>
        <w:t xml:space="preserve">) and</w:t>
      </w:r>
      <w:r>
        <w:t xml:space="preserve"> </w:t>
      </w:r>
      <w:r>
        <w:t xml:space="preserve">starch and sucrose metabolism (</w:t>
      </w:r>
      <m:oMath>
        <m:r>
          <m:t>p</m:t>
        </m:r>
        <m:r>
          <m:rPr>
            <m:sty m:val="p"/>
          </m:rPr>
          <m:t>=</m:t>
        </m:r>
        <m:r>
          <m:t>0.019</m:t>
        </m:r>
      </m:oMath>
      <w:r>
        <w:t xml:space="preserve">). Six survive Benjamini–Hochberg correction at</w:t>
      </w:r>
      <w:r>
        <w:t xml:space="preserve"> </w:t>
      </w:r>
      <w:r>
        <w:t xml:space="preserve">FDR</w:t>
      </w:r>
      <w:r>
        <w:t xml:space="preserve"> </w:t>
      </w:r>
      <m:oMath>
        <m:r>
          <m:rPr>
            <m:sty m:val="p"/>
          </m:rPr>
          <m:t>&lt;</m:t>
        </m:r>
        <m:r>
          <m:t>0.05</m:t>
        </m:r>
      </m:oMath>
      <w:r>
        <w:t xml:space="preserve">, led by protein processing in the endoplasmic reticulum, and none of the pathways</w:t>
      </w:r>
      <w:r>
        <w:t xml:space="preserve"> </w:t>
      </w:r>
      <w:r>
        <w:t xml:space="preserve">the model made a claim about is among them (photosynthesis FDR</w:t>
      </w:r>
      <w:r>
        <w:t xml:space="preserve"> </w:t>
      </w:r>
      <m:oMath>
        <m:r>
          <m:rPr>
            <m:sty m:val="p"/>
          </m:rPr>
          <m:t>=</m:t>
        </m:r>
        <m:r>
          <m:t>0.14</m:t>
        </m:r>
      </m:oMath>
      <w:r>
        <w:t xml:space="preserve">). Glyoxylate and dicarboxylate metabolism — the</w:t>
      </w:r>
      <w:r>
        <w:t xml:space="preserve"> </w:t>
      </w:r>
      <w:r>
        <w:t xml:space="preserve">photorespiration map — ranked</w:t>
      </w:r>
      <w:r>
        <w:t xml:space="preserve"> </w:t>
      </w:r>
      <w:r>
        <w:rPr>
          <w:i/>
          <w:iCs/>
        </w:rPr>
        <w:t xml:space="preserve">214th of 232</w:t>
      </w:r>
      <w:r>
        <w:t xml:space="preserve"> </w:t>
      </w:r>
      <w:r>
        <w:t xml:space="preserve">at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0.994</m:t>
        </m:r>
      </m:oMath>
      <w:r>
        <w:t xml:space="preserve">, in the bottom</w:t>
      </w:r>
      <w:r>
        <w:t xml:space="preserve"> </w:t>
      </w:r>
      <w:r>
        <w:t xml:space="preserve">8 % and the least enriched of any pathway the model made a claim about. Eighteen</w:t>
      </w:r>
      <w:r>
        <w:t xml:space="preserve"> </w:t>
      </w:r>
      <w:r>
        <w:t xml:space="preserve">pathways rank below it, nine of them at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The metabolite hub analysis is the least circular result available here, because the</w:t>
      </w:r>
      <w:r>
        <w:t xml:space="preserve"> </w:t>
      </w:r>
      <w:r>
        <w:t xml:space="preserve">compounds are predicted but the differentially expressed genes counted around them are</w:t>
      </w:r>
      <w:r>
        <w:t xml:space="preserve"> </w:t>
      </w:r>
      <w:r>
        <w:t xml:space="preserve">measured. Fifteen compounds entered it: the thirteen submitted as changed, and two glucose</w:t>
      </w:r>
      <w:r>
        <w:t xml:space="preserve"> </w:t>
      </w:r>
      <w:r>
        <w:t xml:space="preserve">anomers onto which PaintOmics also mapped D-glucose. Seven reached FDR</w:t>
      </w:r>
      <w:r>
        <w:t xml:space="preserve"> </w:t>
      </w:r>
      <m:oMath>
        <m:r>
          <m:rPr>
            <m:sty m:val="p"/>
          </m:rPr>
          <m:t>&lt;</m:t>
        </m:r>
        <m:r>
          <m:t>0.05</m:t>
        </m:r>
      </m:oMath>
      <w:r>
        <w:t xml:space="preserve">, and every one</w:t>
      </w:r>
      <w:r>
        <w:t xml:space="preserve"> </w:t>
      </w:r>
      <w:r>
        <w:t xml:space="preserve">was a carbon-starvation or carbon-supply node. The eight C</w:t>
      </w:r>
      <m:oMath>
        <m:sSub>
          <m:e>
            <m:r>
              <m:t>​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photorespiratory intermediates</w:t>
      </w:r>
      <w:r>
        <w:t xml:space="preserve"> </w:t>
      </w:r>
      <w:r>
        <w:t xml:space="preserve">were not submitted as changed, because the model predicted almost no change in them</w:t>
      </w:r>
      <w:r>
        <w:t xml:space="preserve"> </w:t>
      </w:r>
      <w:r>
        <w:t xml:space="preserve">(log</w:t>
      </w:r>
      <m:oMath>
        <m:sSub>
          <m:e>
            <m:r>
              <m:t>​</m:t>
            </m:r>
          </m:e>
          <m:sub>
            <m:r>
              <m:t>2</m:t>
            </m:r>
          </m:sub>
        </m:sSub>
      </m:oMath>
      <w:r>
        <w:t xml:space="preserve">FC</w:t>
      </w:r>
      <w:r>
        <w:t xml:space="preserve"> </w:t>
      </w:r>
      <m:oMath>
        <m:r>
          <m:t>0.003</m:t>
        </m:r>
      </m:oMath>
      <w:r>
        <w:t xml:space="preserve">), and none entered the hub analysis, so it says nothing about them.</w:t>
      </w:r>
    </w:p>
    <w:bookmarkEnd w:id="14"/>
    <w:bookmarkStart w:id="15" w:name="X0edec915ae5922c7fec0d70f4bd1004df694c9e"/>
    <w:p>
      <w:pPr>
        <w:pStyle w:val="Heading2"/>
      </w:pPr>
      <w:r>
        <w:t xml:space="preserve">Illumination separates six contrasts; the enclosure gradient does not</w:t>
      </w:r>
    </w:p>
    <w:p>
      <w:pPr>
        <w:pStyle w:val="FirstParagraph"/>
      </w:pPr>
      <w:r>
        <w:t xml:space="preserve">The model’s claim is an ordering, so we tested it across six matched flight-versus-ground</w:t>
      </w:r>
      <w:r>
        <w:t xml:space="preserve"> </w:t>
      </w:r>
      <w:r>
        <w:t xml:space="preserve">contrasts from five studies, spanning three enclosure classes</w:t>
      </w:r>
      <w:r>
        <w:t xml:space="preserve"> </w:t>
      </w:r>
      <w:r>
        <w:t xml:space="preserve">(</w:t>
      </w:r>
      <w:r>
        <w:rPr>
          <w:i/>
          <w:iCs/>
        </w:rPr>
        <w:t xml:space="preserve">Proteomics and Transcriptomics Analysis of</w:t>
      </w:r>
      <w:r>
        <w:rPr>
          <w:i/>
          <w:iCs/>
        </w:rPr>
        <w:t xml:space="preserve"> </w:t>
      </w:r>
      <w:r>
        <w:rPr>
          <w:i/>
          <w:i/>
          <w:iCs/>
          <w:iCs/>
        </w:rPr>
        <w:t xml:space="preserve">Arabidopsis</w:t>
      </w:r>
      <w:r>
        <w:rPr>
          <w:i/>
          <w:iCs/>
        </w:rPr>
        <w:t xml:space="preserve"> </w:t>
      </w:r>
      <w:r>
        <w:rPr>
          <w:i/>
          <w:iCs/>
        </w:rPr>
        <w:t xml:space="preserve">Seedlings in Microgravity</w:t>
      </w:r>
      <w:r>
        <w:t xml:space="preserve"> </w:t>
      </w:r>
      <w:r>
        <w:t xml:space="preserve">2015;</w:t>
      </w:r>
      <w:r>
        <w:t xml:space="preserve"> </w:t>
      </w:r>
      <w:r>
        <w:rPr>
          <w:i/>
          <w:iCs/>
        </w:rPr>
        <w:t xml:space="preserve">Relevance of Unfolded Protein Response to Spaceflight-Induced Transcriptional Reprogramming in</w:t>
      </w:r>
      <w:r>
        <w:rPr>
          <w:i/>
          <w:iCs/>
        </w:rPr>
        <w:t xml:space="preserve"> </w:t>
      </w:r>
      <w:r>
        <w:rPr>
          <w:i/>
          <w:i/>
          <w:iCs/>
          <w:iCs/>
        </w:rPr>
        <w:t xml:space="preserve">Arabidopsis</w:t>
      </w:r>
      <w:r>
        <w:t xml:space="preserve"> </w:t>
      </w:r>
      <w:r>
        <w:t xml:space="preserve">2021;</w:t>
      </w:r>
      <w:r>
        <w:t xml:space="preserve"> </w:t>
      </w:r>
      <w:r>
        <w:rPr>
          <w:i/>
          <w:iCs/>
        </w:rPr>
        <w:t xml:space="preserve">Light Has a Principal Role in the</w:t>
      </w:r>
      <w:r>
        <w:rPr>
          <w:i/>
          <w:iCs/>
        </w:rPr>
        <w:t xml:space="preserve"> </w:t>
      </w:r>
      <w:r>
        <w:rPr>
          <w:i/>
          <w:i/>
          <w:iCs/>
          <w:iCs/>
        </w:rPr>
        <w:t xml:space="preserve">Arabidopsis</w:t>
      </w:r>
      <w:r>
        <w:rPr>
          <w:i/>
          <w:iCs/>
        </w:rPr>
        <w:t xml:space="preserve"> </w:t>
      </w:r>
      <w:r>
        <w:rPr>
          <w:i/>
          <w:iCs/>
        </w:rPr>
        <w:t xml:space="preserve">Transcriptomic Response to the Spaceflight Environment</w:t>
      </w:r>
      <w:r>
        <w:t xml:space="preserve"> </w:t>
      </w:r>
      <w:r>
        <w:t xml:space="preserve">2023;</w:t>
      </w:r>
      <w:r>
        <w:t xml:space="preserve"> </w:t>
      </w:r>
      <w:r>
        <w:rPr>
          <w:i/>
          <w:iCs/>
        </w:rPr>
        <w:t xml:space="preserve">Characterizing Epigenetic Changes in Methylation Mutants (</w:t>
      </w:r>
      <w:r>
        <w:rPr>
          <w:i/>
          <w:i/>
          <w:iCs/>
          <w:iCs/>
        </w:rPr>
        <w:t xml:space="preserve">Elp2-5</w:t>
      </w:r>
      <w:r>
        <w:rPr>
          <w:i/>
          <w:iCs/>
        </w:rPr>
        <w:t xml:space="preserve"> </w:t>
      </w:r>
      <w:r>
        <w:rPr>
          <w:i/>
          <w:iCs/>
        </w:rPr>
        <w:t xml:space="preserve">and</w:t>
      </w:r>
      <w:r>
        <w:rPr>
          <w:i/>
          <w:iCs/>
        </w:rPr>
        <w:t xml:space="preserve"> </w:t>
      </w:r>
      <w:r>
        <w:rPr>
          <w:i/>
          <w:i/>
          <w:iCs/>
          <w:iCs/>
        </w:rPr>
        <w:t xml:space="preserve">Met1-7</w:t>
      </w:r>
      <w:r>
        <w:rPr>
          <w:i/>
          <w:iCs/>
        </w:rPr>
        <w:t xml:space="preserve">) in Response to Spaceflight [</w:t>
      </w:r>
      <w:r>
        <w:rPr>
          <w:i/>
          <w:iCs/>
        </w:rPr>
        <w:t xml:space="preserve">RNA-Seq</w:t>
      </w:r>
      <w:r>
        <w:rPr>
          <w:i/>
          <w:iCs/>
        </w:rPr>
        <w:t xml:space="preserve">]</w:t>
      </w:r>
      <w:r>
        <w:t xml:space="preserve"> </w:t>
      </w:r>
      <w:r>
        <w:t xml:space="preserve">2021)</w:t>
      </w:r>
      <w:r>
        <w:t xml:space="preserve">;</w:t>
      </w:r>
      <w:r>
        <w:t xml:space="preserve"> </w:t>
      </w:r>
      <w:r>
        <w:t xml:space="preserve">OSD-678 contributes a lit and a dark arm</w:t>
      </w:r>
      <w:r>
        <w:t xml:space="preserve"> </w:t>
      </w:r>
      <w:r>
        <w:t xml:space="preserve">(Fig. </w:t>
      </w:r>
      <w:hyperlink w:anchor="fig:ladder">
        <w:r>
          <w:rPr>
            <w:rStyle w:val="Hyperlink"/>
          </w:rPr>
          <w:t xml:space="preserve">7</w:t>
        </w:r>
      </w:hyperlink>
      <w:r>
        <w:t xml:space="preserve">; selection and exclusions in Table </w:t>
      </w:r>
      <w:hyperlink w:anchor="tab:studies">
        <w:r>
          <w:rPr>
            <w:rStyle w:val="Hyperlink"/>
          </w:rPr>
          <w:t xml:space="preserve">2</w:t>
        </w:r>
      </w:hyperlink>
      <w:r>
        <w:t xml:space="preserve">).</w:t>
      </w:r>
    </w:p>
    <w:p>
      <w:pPr>
        <w:pStyle w:val="BodyText"/>
      </w:pPr>
      <w:r>
        <w:t xml:space="preserve">On the starvation-over-photosynthesis contrast, illumination separated them completely:</w:t>
      </w:r>
      <w:r>
        <w:t xml:space="preserve"> </w:t>
      </w:r>
      <w:r>
        <w:t xml:space="preserve">all three illuminated contrasts were positive (</w:t>
      </w:r>
      <m:oMath>
        <m:r>
          <m:rPr>
            <m:sty m:val="p"/>
          </m:rPr>
          <m:t>+</m:t>
        </m:r>
        <m:r>
          <m:t>0.41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+</m:t>
        </m:r>
        <m:r>
          <m:t>0.92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+</m:t>
        </m:r>
        <m:r>
          <m:t>2.58</m:t>
        </m:r>
      </m:oMath>
      <w:r>
        <w:t xml:space="preserve">) and all three dark</w:t>
      </w:r>
      <w:r>
        <w:t xml:space="preserve"> </w:t>
      </w:r>
      <w:r>
        <w:t xml:space="preserve">ones negative (</w:t>
      </w:r>
      <m:oMath>
        <m:r>
          <m:rPr>
            <m:sty m:val="p"/>
          </m:rPr>
          <m:t>−</m:t>
        </m:r>
        <m:r>
          <m:t>0.39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−</m:t>
        </m:r>
        <m:r>
          <m:t>1.95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−</m:t>
        </m:r>
        <m:r>
          <m:t>3.22</m:t>
        </m:r>
      </m:oMath>
      <w:r>
        <w:t xml:space="preserve">); one-sided Mann–Whitney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0.05</m:t>
        </m:r>
      </m:oMath>
      <w:r>
        <w:t xml:space="preserve">, the floor</w:t>
      </w:r>
      <w:r>
        <w:t xml:space="preserve"> </w:t>
      </w:r>
      <w:r>
        <w:t xml:space="preserve">attainable at three versus three. The model predicted no signal in the dark, not an inverse,</w:t>
      </w:r>
      <w:r>
        <w:t xml:space="preserve"> </w:t>
      </w:r>
      <w:r>
        <w:t xml:space="preserve">and the significant inversions in the two BRIC-PDFU studies are unexplained. In OSD-678’s dark</w:t>
      </w:r>
      <w:r>
        <w:t xml:space="preserve"> </w:t>
      </w:r>
      <w:r>
        <w:t xml:space="preserve">arm the starvation markers still rose (</w:t>
      </w:r>
      <m:oMath>
        <m:r>
          <m:rPr>
            <m:sty m:val="p"/>
          </m:rPr>
          <m:t>+</m:t>
        </m:r>
        <m:r>
          <m:t>2.07</m:t>
        </m:r>
      </m:oMath>
      <w:r>
        <w:t xml:space="preserve">,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0.007</m:t>
        </m:r>
      </m:oMath>
      <w:r>
        <w:t xml:space="preserve">); its negative value comes from</w:t>
      </w:r>
      <w:r>
        <w:t xml:space="preserve"> </w:t>
      </w:r>
      <w:r>
        <w:t xml:space="preserve">photosystem genes rising further, and is not significant (</w:t>
      </w:r>
      <m:oMath>
        <m:r>
          <m:t>p</m:t>
        </m:r>
        <m:r>
          <m:rPr>
            <m:sty m:val="p"/>
          </m:rPr>
          <m:t>=</m:t>
        </m:r>
        <m:r>
          <m:t>0.12</m:t>
        </m:r>
      </m:oMath>
      <w:r>
        <w:t xml:space="preserve">). The separation is not</w:t>
      </w:r>
      <w:r>
        <w:t xml:space="preserve"> </w:t>
      </w:r>
      <w:r>
        <w:t xml:space="preserve">complete on every contrast: on photorespiration against carbon fixation, OSD-678’s dark arm</w:t>
      </w:r>
      <w:r>
        <w:t xml:space="preserve"> </w:t>
      </w:r>
      <w:r>
        <w:t xml:space="preserve">sits above every lit one. The cleanest evidence is internal: OSD-678 light (</w:t>
      </w:r>
      <m:oMath>
        <m:r>
          <m:rPr>
            <m:sty m:val="p"/>
          </m:rPr>
          <m:t>+</m:t>
        </m:r>
        <m:r>
          <m:t>2.58</m:t>
        </m:r>
      </m:oMath>
      <w:r>
        <w:t xml:space="preserve">) against</w:t>
      </w:r>
      <w:r>
        <w:t xml:space="preserve"> </w:t>
      </w:r>
      <w:r>
        <w:t xml:space="preserve">OSD-678 dark (</w:t>
      </w:r>
      <m:oMath>
        <m:r>
          <m:rPr>
            <m:sty m:val="p"/>
          </m:rPr>
          <m:t>−</m:t>
        </m:r>
        <m:r>
          <m:t>0.39</m:t>
        </m:r>
      </m:oMath>
      <w:r>
        <w:t xml:space="preserve">) is the same hardware, genotype and flight. Two further caveats bear on</w:t>
      </w:r>
      <w:r>
        <w:t xml:space="preserve"> </w:t>
      </w:r>
      <w:r>
        <w:t xml:space="preserve">the illumination reading. OSD-38’s dark condition is inferred from its hardware rather than</w:t>
      </w:r>
      <w:r>
        <w:t xml:space="preserve"> </w:t>
      </w:r>
      <w:r>
        <w:t xml:space="preserve">stated, and OSD-678’s lit arm grew in diffuse cabin light of 4–6 μmol</w:t>
      </w:r>
      <w:r>
        <w:t xml:space="preserve"> </w:t>
      </w:r>
      <w:r>
        <w:t xml:space="preserve">m</w:t>
      </w:r>
      <m:oMath>
        <m:sSup>
          <m:e>
            <m:r>
              <m:t>​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</m:sup>
        </m:sSup>
      </m:oMath>
      <w:r>
        <w:t xml:space="preserve"> s</w:t>
      </w:r>
      <m:oMath>
        <m:sSup>
          <m:e>
            <m:r>
              <m:t>​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, an order of magnitude below OSD-522, yet shows the strongest signature.</w:t>
      </w:r>
    </w:p>
    <w:p>
      <w:pPr>
        <w:pStyle w:val="BodyText"/>
      </w:pPr>
      <w:r>
        <w:t xml:space="preserve">The predicted gradient across enclosure classes did</w:t>
      </w:r>
      <w:r>
        <w:t xml:space="preserve"> </w:t>
      </w:r>
      <w:r>
        <w:rPr>
          <w:i/>
          <w:iCs/>
        </w:rPr>
        <w:t xml:space="preserve">not</w:t>
      </w:r>
      <w:r>
        <w:t xml:space="preserve"> </w:t>
      </w:r>
      <w:r>
        <w:t xml:space="preserve">hold (Spearman</w:t>
      </w:r>
      <w:r>
        <w:t xml:space="preserve"> </w:t>
      </w:r>
      <m:oMath>
        <m:r>
          <m:t>ρ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0.50</m:t>
        </m:r>
      </m:oMath>
      <w:r>
        <w:t xml:space="preserve">,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0.67</m:t>
        </m:r>
      </m:oMath>
      <w:r>
        <w:t xml:space="preserve">). Sealed and ventilated fell the right way round but the CARA</w:t>
      </w:r>
      <w:r>
        <w:t xml:space="preserve"> </w:t>
      </w:r>
      <w:r>
        <w:t xml:space="preserve">plates, modelled as tape-sealed, sat highest, and three studies cannot rank three classes. We report this as a failure of</w:t>
      </w:r>
      <w:r>
        <w:t xml:space="preserve"> </w:t>
      </w:r>
      <w:r>
        <w:t xml:space="preserve">that prediction. The driver appears to be illumination inside an enclosure rather than sealing</w:t>
      </w:r>
      <w:r>
        <w:t xml:space="preserve"> </w:t>
      </w:r>
      <w:r>
        <w:t xml:space="preserve">as such — which is mechanistically what the model says, since drawdown requires</w:t>
      </w:r>
      <w:r>
        <w:t xml:space="preserve"> </w:t>
      </w:r>
      <w:r>
        <w:t xml:space="preserve">photosynthesis to be running.</w:t>
      </w:r>
    </w:p>
    <w:bookmarkEnd w:id="15"/>
    <w:bookmarkEnd w:id="16"/>
    <w:bookmarkStart w:id="19" w:name="sec:discussion"/>
    <w:p>
      <w:pPr>
        <w:pStyle w:val="Heading1"/>
      </w:pPr>
      <w:r>
        <w:t xml:space="preserve">Discussion</w:t>
      </w:r>
    </w:p>
    <w:p>
      <w:pPr>
        <w:pStyle w:val="FirstParagraph"/>
      </w:pPr>
      <w:r>
        <w:t xml:space="preserve">The strongest signal in the OSD-522 integration is one this model does not explain: protein</w:t>
      </w:r>
      <w:r>
        <w:t xml:space="preserve"> </w:t>
      </w:r>
      <w:r>
        <w:t xml:space="preserve">processing in the endoplasmic reticulum, at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8.6</m:t>
        </m:r>
        <m:r>
          <m:rPr>
            <m:sty m:val="p"/>
          </m:rPr>
          <m:t>×</m:t>
        </m:r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9</m:t>
            </m:r>
          </m:sup>
        </m:sSup>
      </m:oMath>
      <w:r>
        <w:t xml:space="preserve">, the unfolded protein</w:t>
      </w:r>
      <w:r>
        <w:t xml:space="preserve"> </w:t>
      </w:r>
      <w:r>
        <w:t xml:space="preserve">response. A gas-transport account explains part of this experiment, not all of it.</w:t>
      </w:r>
    </w:p>
    <w:p>
      <w:pPr>
        <w:pStyle w:val="BodyText"/>
      </w:pPr>
      <w:r>
        <w:t xml:space="preserve">What the analysis does support is narrower and, we think, more useful. In an illuminated</w:t>
      </w:r>
      <w:r>
        <w:t xml:space="preserve"> </w:t>
      </w:r>
      <w:r>
        <w:t xml:space="preserve">enclosure the atmosphere the plants experience is set by the hardware, it is not measured, and</w:t>
      </w:r>
      <w:r>
        <w:t xml:space="preserve"> </w:t>
      </w:r>
      <w:r>
        <w:t xml:space="preserve">it is large. Because it acts on both arms it does not bias the published contrast — which is</w:t>
      </w:r>
      <w:r>
        <w:t xml:space="preserve"> </w:t>
      </w:r>
      <w:r>
        <w:t xml:space="preserve">precisely why it has gone unnoticed. What it does instead is set the physiological state in</w:t>
      </w:r>
      <w:r>
        <w:t xml:space="preserve"> </w:t>
      </w:r>
      <w:r>
        <w:t xml:space="preserve">which the microgravity response is read out: not a healthy plant, but a carbon-starved one.</w:t>
      </w:r>
      <w:r>
        <w:t xml:space="preserve"> </w:t>
      </w:r>
      <w:r>
        <w:t xml:space="preserve">That is a baseline condition, not a bias to correct for, and a sensor would settle it.</w:t>
      </w:r>
    </w:p>
    <w:bookmarkStart w:id="17" w:name="limitations"/>
    <w:p>
      <w:pPr>
        <w:pStyle w:val="Heading2"/>
      </w:pPr>
      <w:r>
        <w:t xml:space="preserve">Limitations</w:t>
      </w:r>
    </w:p>
    <w:p>
      <w:pPr>
        <w:pStyle w:val="FirstParagraph"/>
      </w:pPr>
      <w:r>
        <w:t xml:space="preserve">Cross-study comparison is the weakest joint here: different laboratories, durations,</w:t>
      </w:r>
      <w:r>
        <w:t xml:space="preserve"> </w:t>
      </w:r>
      <w:r>
        <w:t xml:space="preserve">genotypes and harvest protocols. We restricted to GeneLab-standard RNA-seq, aerial tissue</w:t>
      </w:r>
      <w:r>
        <w:t xml:space="preserve"> </w:t>
      </w:r>
      <w:r>
        <w:t xml:space="preserve">where a study offered it, and matched contrasts, and we report gene-set</w:t>
      </w:r>
      <w:r>
        <w:t xml:space="preserve"> </w:t>
      </w:r>
      <w:r>
        <w:rPr>
          <w:i/>
          <w:iCs/>
        </w:rPr>
        <w:t xml:space="preserve">ordering</w:t>
      </w:r>
      <w:r>
        <w:t xml:space="preserve"> </w:t>
      </w:r>
      <w:r>
        <w:t xml:space="preserve">rather</w:t>
      </w:r>
      <w:r>
        <w:t xml:space="preserve"> </w:t>
      </w:r>
      <w:r>
        <w:t xml:space="preserve">than absolute effect sizes, but the limitation stands. Two of the three dark studies are whole</w:t>
      </w:r>
      <w:r>
        <w:t xml:space="preserve"> </w:t>
      </w:r>
      <w:r>
        <w:t xml:space="preserve">seedlings, so tissue is partly confounded with illumination. The illumination result rests on</w:t>
      </w:r>
      <w:r>
        <w:t xml:space="preserve"> </w:t>
      </w:r>
      <w:r>
        <w:t xml:space="preserve">three contrasts per group, from five studies. The predictions and the tests that score them</w:t>
      </w:r>
      <w:r>
        <w:t xml:space="preserve"> </w:t>
      </w:r>
      <w:r>
        <w:t xml:space="preserve">entered the repository in the same commit, so the record cannot show that the predictions</w:t>
      </w:r>
      <w:r>
        <w:t xml:space="preserve"> </w:t>
      </w:r>
      <w:r>
        <w:t xml:space="preserve">were fixed first. Pathway enrichment is reported at uncorrected</w:t>
      </w:r>
      <w:r>
        <w:t xml:space="preserve"> </w:t>
      </w:r>
      <m:oMath>
        <m:r>
          <m:t>p</m:t>
        </m:r>
      </m:oMath>
      <w:r>
        <w:t xml:space="preserve">; after FDR correction six</w:t>
      </w:r>
      <w:r>
        <w:t xml:space="preserve"> </w:t>
      </w:r>
      <w:r>
        <w:t xml:space="preserve">of 232 pathways remain, none of them one the model made a claim about. The enclosure drawdown</w:t>
      </w:r>
      <w:r>
        <w:t xml:space="preserve"> </w:t>
      </w:r>
      <w:r>
        <w:t xml:space="preserve">and carbon-gain figures rest on an assumed headspace volume and tape permeance, and OSDR does</w:t>
      </w:r>
      <w:r>
        <w:t xml:space="preserve"> </w:t>
      </w:r>
      <w:r>
        <w:t xml:space="preserve">not describe how the CARA plates were sealed. The intended ventilated proteome arm does not exist, because OSD-16 has no processed</w:t>
      </w:r>
      <w:r>
        <w:t xml:space="preserve"> </w:t>
      </w:r>
      <w:r>
        <w:t xml:space="preserve">files, so the two-layer comparison is confined to sealed hardware. The metabolite layer is</w:t>
      </w:r>
      <w:r>
        <w:t xml:space="preserve"> </w:t>
      </w:r>
      <w:r>
        <w:t xml:space="preserve">predicted throughout, and the metabolite class-activity test is close to circular because it</w:t>
      </w:r>
      <w:r>
        <w:t xml:space="preserve"> </w:t>
      </w:r>
      <w:r>
        <w:t xml:space="preserve">tests our own predicted list; the hub analysis is not, and is reported as the informative one.</w:t>
      </w:r>
      <w:r>
        <w:t xml:space="preserve"> </w:t>
      </w:r>
      <w:r>
        <w:t xml:space="preserve">The photosynthesis model is solved at saturating irradiance, 1</w:t>
      </w:r>
      <w:r>
        <w:t xml:space="preserve">,</w:t>
      </w:r>
      <w:r>
        <w:t xml:space="preserve">000 μmol</w:t>
      </w:r>
      <w:r>
        <w:t xml:space="preserve"> </w:t>
      </w:r>
      <w:r>
        <w:t xml:space="preserve">m</w:t>
      </w:r>
      <m:oMath>
        <m:sSup>
          <m:e>
            <m:r>
              <m:t>​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</m:sup>
        </m:sSup>
      </m:oMath>
      <w:r>
        <w:t xml:space="preserve"> s</w:t>
      </w:r>
      <m:oMath>
        <m:sSup>
          <m:e>
            <m:r>
              <m:t>​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, whereas OSD-522 was grown at 60. At 60 the same calculation puts the</w:t>
      </w:r>
      <w:r>
        <w:t xml:space="preserve"> </w:t>
      </w:r>
      <w:r>
        <w:t xml:space="preserve">oxygenation fraction at 18 % in ventilated hardware at ambient CO</w:t>
      </w:r>
      <m:oMath>
        <m:sSub>
          <m:e>
            <m:r>
              <m:t>​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and 46 % at</w:t>
      </w:r>
      <w:r>
        <w:t xml:space="preserve"> </w:t>
      </w:r>
      <w:r>
        <w:t xml:space="preserve">100 ppm, which at that light is the compensation point, and the microgravity assimilation</w:t>
      </w:r>
      <w:r>
        <w:t xml:space="preserve"> </w:t>
      </w:r>
      <w:r>
        <w:t xml:space="preserve">deficit at under 3 % at leaf and rosette scale and up to 11 % in a dense canopy,</w:t>
      </w:r>
      <w:r>
        <w:t xml:space="preserve"> </w:t>
      </w:r>
      <w:r>
        <w:t xml:space="preserve">growing as CO</w:t>
      </w:r>
      <m:oMath>
        <m:sSub>
          <m:e>
            <m:r>
              <m:t>​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falls rather than holding flat. The direction of each prediction is unchanged, but the magnitudes in</w:t>
      </w:r>
      <w:r>
        <w:t xml:space="preserve"> </w:t>
      </w:r>
      <w:r>
        <w:t xml:space="preserve">Table </w:t>
      </w:r>
      <w:hyperlink w:anchor="tab:operating">
        <w:r>
          <w:rPr>
            <w:rStyle w:val="Hyperlink"/>
          </w:rPr>
          <w:t xml:space="preserve">1</w:t>
        </w:r>
      </w:hyperlink>
      <w:r>
        <w:t xml:space="preserve"> </w:t>
      </w:r>
      <w:r>
        <w:t xml:space="preserve">and Fig. </w:t>
      </w:r>
      <w:hyperlink w:anchor="fig:fvcb">
        <w:r>
          <w:rPr>
            <w:rStyle w:val="Hyperlink"/>
          </w:rPr>
          <w:t xml:space="preserve">2</w:t>
        </w:r>
      </w:hyperlink>
      <w:r>
        <w:t xml:space="preserve"> </w:t>
      </w:r>
      <w:r>
        <w:t xml:space="preserve">are saturating-light values</w:t>
      </w:r>
      <w:r>
        <w:t xml:space="preserve"> </w:t>
      </w:r>
      <w:r>
        <w:t xml:space="preserve">(</w:t>
      </w:r>
      <w:r>
        <w:rPr>
          <w:rStyle w:val="VerbatimChar"/>
        </w:rPr>
        <w:t xml:space="preserve">results/tables/T13_light_sensitivity.tsv</w:t>
      </w:r>
      <w:r>
        <w:t xml:space="preserve">).</w:t>
      </w:r>
      <w:r>
        <w:t xml:space="preserve"> </w:t>
      </w:r>
      <w:r>
        <w:t xml:space="preserve">Finally,</w:t>
      </w:r>
      <w:r>
        <w:t xml:space="preserve"> </w:t>
      </w:r>
      <m:oMath>
        <m:sSub>
          <m:e>
            <m:r>
              <m:t>V</m:t>
            </m:r>
          </m:e>
          <m:sub>
            <m:r>
              <m:t>c</m:t>
            </m:r>
            <m:r>
              <m:t>m</m:t>
            </m:r>
            <m:r>
              <m:t>a</m:t>
            </m:r>
            <m:r>
              <m:t>x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J</m:t>
            </m:r>
          </m:e>
          <m:sub>
            <m:r>
              <m:t>m</m:t>
            </m:r>
            <m:r>
              <m:t>a</m:t>
            </m:r>
            <m:r>
              <m:t>x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R</m:t>
            </m:r>
          </m:e>
          <m:sub>
            <m:r>
              <m:t>d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g</m:t>
            </m:r>
          </m:e>
          <m:sub>
            <m:r>
              <m:t>s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g</m:t>
            </m:r>
          </m:e>
          <m:sub>
            <m:r>
              <m:t>m</m:t>
            </m:r>
          </m:sub>
        </m:sSub>
      </m:oMath>
      <w:r>
        <w:t xml:space="preserve"> </w:t>
      </w:r>
      <w:r>
        <w:t xml:space="preserve">remain literature values for</w:t>
      </w:r>
      <w:r>
        <w:t xml:space="preserve"> </w:t>
      </w:r>
      <w:r>
        <w:rPr>
          <w:i/>
          <w:iCs/>
        </w:rPr>
        <w:t xml:space="preserve">Arabidopsis</w:t>
      </w:r>
      <w:r>
        <w:t xml:space="preserve"> </w:t>
      </w:r>
      <w:r>
        <w:t xml:space="preserve">rather than fits to flight material, and</w:t>
      </w:r>
      <w:r>
        <w:t xml:space="preserve"> </w:t>
      </w:r>
      <m:oMath>
        <m:sSub>
          <m:e>
            <m:r>
              <m:t>g</m:t>
            </m:r>
          </m:e>
          <m:sub>
            <m:r>
              <m:t>s</m:t>
            </m:r>
          </m:sub>
        </m:sSub>
      </m:oMath>
      <w:r>
        <w:t xml:space="preserve"> </w:t>
      </w:r>
      <w:r>
        <w:t xml:space="preserve">is held fixed although</w:t>
      </w:r>
      <w:r>
        <w:t xml:space="preserve"> </w:t>
      </w:r>
      <w:r>
        <w:t xml:space="preserve">BRIC canisters are humid.</w:t>
      </w:r>
    </w:p>
    <w:bookmarkEnd w:id="17"/>
    <w:bookmarkStart w:id="18" w:name="what-would-settle-it"/>
    <w:p>
      <w:pPr>
        <w:pStyle w:val="Heading2"/>
      </w:pPr>
      <w:r>
        <w:t xml:space="preserve">What would settle it</w:t>
      </w:r>
    </w:p>
    <w:p>
      <w:pPr>
        <w:pStyle w:val="FirstParagraph"/>
      </w:pPr>
      <w:r>
        <w:t xml:space="preserve">Three things, in increasing cost. First, log CO</w:t>
      </w:r>
      <m:oMath>
        <m:sSub>
          <m:e>
            <m:r>
              <m:t>​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and O</w:t>
      </w:r>
      <m:oMath>
        <m:sSub>
          <m:e>
            <m:r>
              <m:t>​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inside the canister: the central</w:t>
      </w:r>
      <w:r>
        <w:t xml:space="preserve"> </w:t>
      </w:r>
      <w:r>
        <w:t xml:space="preserve">assumption of this analysis becomes a measurement, and an entire archive of BRIC-derived</w:t>
      </w:r>
      <w:r>
        <w:t xml:space="preserve"> </w:t>
      </w:r>
      <w:r>
        <w:t xml:space="preserve">transcriptomes becomes reinterpretable. Second, run a targeted metabolite panel on archived</w:t>
      </w:r>
      <w:r>
        <w:t xml:space="preserve"> </w:t>
      </w:r>
      <w:r>
        <w:t xml:space="preserve">flight material — roughly twenty compounds would be the first plant spaceflight metabolome</w:t>
      </w:r>
      <w:r>
        <w:t xml:space="preserve"> </w:t>
      </w:r>
      <w:r>
        <w:t xml:space="preserve">in existence, and our predicted set is a ready-made target list. Third, fly a three-arm design</w:t>
      </w:r>
      <w:r>
        <w:t xml:space="preserve"> </w:t>
      </w:r>
      <w:r>
        <w:t xml:space="preserve">(Fig. </w:t>
      </w:r>
      <w:hyperlink w:anchor="fig:implications">
        <w:r>
          <w:rPr>
            <w:rStyle w:val="Hyperlink"/>
          </w:rPr>
          <w:t xml:space="preserve">8</w:t>
        </w:r>
      </w:hyperlink>
      <w:r>
        <w:t xml:space="preserve">): flight sealed, ground sealed, ground ventilated. Two arms</w:t>
      </w:r>
      <w:r>
        <w:t xml:space="preserve"> </w:t>
      </w:r>
      <w:r>
        <w:t xml:space="preserve">confound hardware with gravity; three separate them, and the third arm never leaves the</w:t>
      </w:r>
      <w:r>
        <w:t xml:space="preserve"> </w:t>
      </w:r>
      <w:r>
        <w:t xml:space="preserve">ground.</w:t>
      </w:r>
    </w:p>
    <w:bookmarkEnd w:id="18"/>
    <w:bookmarkEnd w:id="19"/>
    <w:bookmarkStart w:id="80" w:name="sec:methods"/>
    <w:p>
      <w:pPr>
        <w:pStyle w:val="Heading1"/>
      </w:pPr>
      <w:r>
        <w:t xml:space="preserve">Methods</w:t>
      </w:r>
    </w:p>
    <w:p>
      <w:pPr>
        <w:pStyle w:val="FirstParagraph"/>
      </w:pPr>
      <w:r>
        <w:t xml:space="preserve">Full methods, every script and every derived table are in the repository accompanying this</w:t>
      </w:r>
      <w:r>
        <w:t xml:space="preserve"> </w:t>
      </w:r>
      <w:r>
        <w:t xml:space="preserve">manuscript. Study selection, including each exclusion and its reason, is in</w:t>
      </w:r>
      <w:r>
        <w:t xml:space="preserve"> </w:t>
      </w:r>
      <w:r>
        <w:rPr>
          <w:rStyle w:val="VerbatimChar"/>
        </w:rPr>
        <w:t xml:space="preserve">data/study_registry.tsv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Gas transport.</w:t>
      </w:r>
      <w:r>
        <w:t xml:space="preserve"> </w:t>
      </w:r>
      <w:r>
        <w:t xml:space="preserve">Boundary-layer conductance was taken from the lattice-Boltzmann</w:t>
      </w:r>
      <w:r>
        <w:t xml:space="preserve"> </w:t>
      </w:r>
      <w:r>
        <w:t xml:space="preserve">solver in LunarLeaf-CFD</w:t>
      </w:r>
      <w:r>
        <w:t xml:space="preserve"> </w:t>
      </w:r>
      <w:r>
        <w:t xml:space="preserve">(Barker, n.d.)</w:t>
      </w:r>
      <w:r>
        <w:t xml:space="preserve">, from its steady-state export (commit</w:t>
      </w:r>
      <w:r>
        <w:t xml:space="preserve"> </w:t>
      </w:r>
      <w:r>
        <w:rPr>
          <w:rStyle w:val="VerbatimChar"/>
        </w:rPr>
        <w:t xml:space="preserve">e298785</w:t>
      </w:r>
      <w:r>
        <w:t xml:space="preserve">, regenerated with</w:t>
      </w:r>
      <w:r>
        <w:t xml:space="preserve"> </w:t>
      </w:r>
      <w:r>
        <w:rPr>
          <w:rStyle w:val="VerbatimChar"/>
        </w:rPr>
        <w:t xml:space="preserve">validation/export_cfd.ts</w:t>
      </w:r>
      <w:r>
        <w:t xml:space="preserve">), and the enclosure drawdown time and 12 h carbon</w:t>
      </w:r>
      <w:r>
        <w:t xml:space="preserve"> </w:t>
      </w:r>
      <w:r>
        <w:t xml:space="preserve">gain from its zero-dimensional models (</w:t>
      </w:r>
      <w:r>
        <w:rPr>
          <w:rStyle w:val="VerbatimChar"/>
        </w:rPr>
        <w:t xml:space="preserve">validation/hardware_analysis.py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validation/feedback_0d.py</w:t>
      </w:r>
      <w:r>
        <w:t xml:space="preserve">), which assume a 30 mL dish headspace and a tape</w:t>
      </w:r>
      <w:r>
        <w:t xml:space="preserve"> </w:t>
      </w:r>
      <w:r>
        <w:t xml:space="preserve">permeance; all were vendored into this repository.</w:t>
      </w:r>
    </w:p>
    <w:p>
      <w:pPr>
        <w:pStyle w:val="BodyText"/>
      </w:pPr>
      <w:r>
        <w:rPr>
          <w:b/>
          <w:bCs/>
        </w:rPr>
        <w:t xml:space="preserve">Photosynthesis model.</w:t>
      </w:r>
      <w:r>
        <w:t xml:space="preserve"> </w:t>
      </w:r>
      <w:r>
        <w:t xml:space="preserve">A Farquhar–von Caemmerer–Berry C</w:t>
      </w:r>
      <m:oMath>
        <m:sSub>
          <m:e>
            <m:r>
              <m:t>​</m:t>
            </m:r>
          </m:e>
          <m:sub>
            <m:r>
              <m:t>3</m:t>
            </m:r>
          </m:sub>
        </m:sSub>
      </m:oMath>
      <w:r>
        <w:t xml:space="preserve"> </w:t>
      </w:r>
      <w:r>
        <w:t xml:space="preserve">model</w:t>
      </w:r>
      <w:r>
        <w:t xml:space="preserve"> </w:t>
      </w:r>
      <w:r>
        <w:t xml:space="preserve">(Farquhar et al. 1980)</w:t>
      </w:r>
      <w:r>
        <w:t xml:space="preserve"> </w:t>
      </w:r>
      <w:r>
        <w:t xml:space="preserve">with the oxygenation term explicit, using in-vivo temperature responses</w:t>
      </w:r>
      <w:r>
        <w:t xml:space="preserve"> </w:t>
      </w:r>
      <w:r>
        <w:t xml:space="preserve">(Bernacchi et al. 2001, 2003)</w:t>
      </w:r>
      <w:r>
        <w:t xml:space="preserve">, solved for the supply-equals-demand operating point.</w:t>
      </w:r>
      <w:r>
        <w:t xml:space="preserve"> </w:t>
      </w:r>
      <w:r>
        <w:t xml:space="preserve">Every operating point, assimilation deficit and metabolite prediction reported here is solved</w:t>
      </w:r>
      <w:r>
        <w:t xml:space="preserve"> </w:t>
      </w:r>
      <w:r>
        <w:t xml:space="preserve">at an irradiance of 1</w:t>
      </w:r>
      <w:r>
        <w:t xml:space="preserve">,</w:t>
      </w:r>
      <w:r>
        <w:t xml:space="preserve">000 μmol m</w:t>
      </w:r>
      <m:oMath>
        <m:sSup>
          <m:e>
            <m:r>
              <m:t>​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</m:sup>
        </m:sSup>
      </m:oMath>
      <w:r>
        <w:t xml:space="preserve"> s</w:t>
      </w:r>
      <m:oMath>
        <m:sSup>
          <m:e>
            <m:r>
              <m:t>​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(</w:t>
      </w:r>
      <w:r>
        <w:rPr>
          <w:rStyle w:val="VerbatimChar"/>
        </w:rPr>
        <w:t xml:space="preserve">scripts/fvcb.py</w:t>
      </w:r>
      <w:r>
        <w:t xml:space="preserve">).</w:t>
      </w:r>
    </w:p>
    <w:p>
      <w:pPr>
        <w:pStyle w:val="BodyText"/>
      </w:pPr>
      <w:r>
        <w:rPr>
          <w:b/>
          <w:bCs/>
        </w:rPr>
        <w:t xml:space="preserve">Differential expression.</w:t>
      </w:r>
      <w:r>
        <w:t xml:space="preserve"> </w:t>
      </w:r>
      <w:r>
        <w:t xml:space="preserve">OSD-522 was processed with PyDESeq2</w:t>
      </w:r>
      <w:r>
        <w:t xml:space="preserve"> </w:t>
      </w:r>
      <w:r>
        <w:t xml:space="preserve">(Muzellec et al. 2023)</w:t>
      </w:r>
      <w:r>
        <w:t xml:space="preserve">. The</w:t>
      </w:r>
      <w:r>
        <w:t xml:space="preserve"> </w:t>
      </w:r>
      <w:r>
        <w:t xml:space="preserve">other five studies use GeneLab’s own deposited differential-expression tables, with matched</w:t>
      </w:r>
      <w:r>
        <w:t xml:space="preserve"> </w:t>
      </w:r>
      <w:r>
        <w:t xml:space="preserve">flight-versus-ground contrasts selected by pattern and recorded in the registry.</w:t>
      </w:r>
    </w:p>
    <w:p>
      <w:pPr>
        <w:pStyle w:val="BodyText"/>
      </w:pPr>
      <w:r>
        <w:rPr>
          <w:b/>
          <w:bCs/>
        </w:rPr>
        <w:t xml:space="preserve">Gene sets.</w:t>
      </w:r>
      <w:r>
        <w:t xml:space="preserve"> </w:t>
      </w:r>
      <w:r>
        <w:t xml:space="preserve">Built from KEGG pathway membership and description regular expressions</w:t>
      </w:r>
      <w:r>
        <w:t xml:space="preserve"> </w:t>
      </w:r>
      <w:r>
        <w:t xml:space="preserve">fetched live</w:t>
      </w:r>
      <w:r>
        <w:t xml:space="preserve"> </w:t>
      </w:r>
      <w:r>
        <w:t xml:space="preserve">(Kanehisa and Goto 2000;</w:t>
      </w:r>
      <w:r>
        <w:t xml:space="preserve"> </w:t>
      </w:r>
      <w:r>
        <w:rPr>
          <w:i/>
          <w:iCs/>
        </w:rPr>
        <w:t xml:space="preserve">KEGG</w:t>
      </w:r>
      <w:r>
        <w:t xml:space="preserve">, n.d.)</w:t>
      </w:r>
      <w:r>
        <w:t xml:space="preserve">, never typed from memory.</w:t>
      </w:r>
    </w:p>
    <w:p>
      <w:pPr>
        <w:pStyle w:val="BodyText"/>
      </w:pPr>
      <w:r>
        <w:rPr>
          <w:b/>
          <w:bCs/>
        </w:rPr>
        <w:t xml:space="preserve">Pathway integration.</w:t>
      </w:r>
      <w:r>
        <w:t xml:space="preserve"> </w:t>
      </w:r>
      <w:r>
        <w:t xml:space="preserve">PaintOmics</w:t>
      </w:r>
      <w:r>
        <w:t xml:space="preserve"> </w:t>
      </w:r>
      <w:r>
        <w:t xml:space="preserve">(Liu et al. 2022)</w:t>
      </w:r>
      <w:r>
        <w:t xml:space="preserve">, organism</w:t>
      </w:r>
      <w:r>
        <w:t xml:space="preserve"> </w:t>
      </w:r>
      <w:r>
        <w:rPr>
          <w:rStyle w:val="VerbatimChar"/>
        </w:rPr>
        <w:t xml:space="preserve">ath</w:t>
      </w:r>
      <w:r>
        <w:t xml:space="preserve">, KEGG and</w:t>
      </w:r>
      <w:r>
        <w:t xml:space="preserve"> </w:t>
      </w:r>
      <w:r>
        <w:t xml:space="preserve">MapMan, with the optional AI interpretation disabled. The jobs were first run on a metabolite</w:t>
      </w:r>
      <w:r>
        <w:t xml:space="preserve"> </w:t>
      </w:r>
      <w:r>
        <w:t xml:space="preserve">layer predicted from an earlier LunarLeaf-CFD export (photosynthate log</w:t>
      </w:r>
      <m:oMath>
        <m:sSub>
          <m:e>
            <m:r>
              <m:t>​</m:t>
            </m:r>
          </m:e>
          <m:sub>
            <m:r>
              <m:t>2</m:t>
            </m:r>
          </m:sub>
        </m:sSub>
      </m:oMath>
      <w:r>
        <w:t xml:space="preserve">FC</w:t>
      </w:r>
      <w:r>
        <w:t xml:space="preserve"> </w:t>
      </w:r>
      <m:oMath>
        <m:r>
          <m:rPr>
            <m:sty m:val="p"/>
          </m:rPr>
          <m:t>−</m:t>
        </m:r>
        <m:r>
          <m:t>0.114</m:t>
        </m:r>
      </m:oMath>
      <w:r>
        <w:t xml:space="preserve"> </w:t>
      </w:r>
      <w:r>
        <w:t xml:space="preserve">against</w:t>
      </w:r>
      <w:r>
        <w:t xml:space="preserve"> </w:t>
      </w:r>
      <m:oMath>
        <m:r>
          <m:rPr>
            <m:sty m:val="p"/>
          </m:rPr>
          <m:t>−</m:t>
        </m:r>
        <m:r>
          <m:t>0.131</m:t>
        </m:r>
      </m:oMath>
      <w:r>
        <w:t xml:space="preserve"> </w:t>
      </w:r>
      <w:r>
        <w:t xml:space="preserve">now) and resubmitted on the current one; every pathway, per-omic and hub</w:t>
      </w:r>
      <w:r>
        <w:t xml:space="preserve"> </w:t>
      </w:r>
      <m:oMath>
        <m:r>
          <m:t>p</m:t>
        </m:r>
      </m:oMath>
      <w:r>
        <w:t xml:space="preserve">-value was</w:t>
      </w:r>
      <w:r>
        <w:t xml:space="preserve"> </w:t>
      </w:r>
      <w:r>
        <w:t xml:space="preserve">identical. PaintOmics reports enrichment but not</w:t>
      </w:r>
      <w:r>
        <w:t xml:space="preserve"> </w:t>
      </w:r>
      <w:r>
        <w:t xml:space="preserve">the gene lists behind it, and MapMan has no equivalent of the KEGG REST API, so the gene</w:t>
      </w:r>
      <w:r>
        <w:t xml:space="preserve"> </w:t>
      </w:r>
      <w:r>
        <w:t xml:space="preserve">membership used in the accompanying data explorer was reconstructed from GoMapMan’s</w:t>
      </w:r>
      <w:r>
        <w:t xml:space="preserve"> </w:t>
      </w:r>
      <w:r>
        <w:t xml:space="preserve">Araport11 gene-to-bin mapping and the MapMan diagram layouts, by PaintOmics’ own inclusion</w:t>
      </w:r>
      <w:r>
        <w:t xml:space="preserve"> </w:t>
      </w:r>
      <w:r>
        <w:t xml:space="preserve">rules. PaintOmics matches a diagram’s bin codes anywhere in a gene’s bin code, not only from</w:t>
      </w:r>
      <w:r>
        <w:t xml:space="preserve"> </w:t>
      </w:r>
      <w:r>
        <w:t xml:space="preserve">the start, so its MapMan diagrams hold more than their names suggest:</w:t>
      </w:r>
      <w:r>
        <w:t xml:space="preserve"> </w:t>
      </w:r>
      <w:r>
        <w:rPr>
          <w:i/>
          <w:iCs/>
        </w:rPr>
        <w:t xml:space="preserve">photosynthesis</w:t>
      </w:r>
      <w:r>
        <w:t xml:space="preserve"> </w:t>
      </w:r>
      <w:r>
        <w:t xml:space="preserve">has 1</w:t>
      </w:r>
      <w:r>
        <w:t xml:space="preserve">,</w:t>
      </w:r>
      <w:r>
        <w:t xml:space="preserve">722 measured loci this way and 488 if matched from the start. It reproduces PaintOmics’</w:t>
      </w:r>
      <w:r>
        <w:t xml:space="preserve"> </w:t>
      </w:r>
      <w:r>
        <w:t xml:space="preserve">feature count exactly or within three features for 9 of the 13 significant MapMan diagrams</w:t>
      </w:r>
      <w:r>
        <w:t xml:space="preserve"> </w:t>
      </w:r>
      <w:r>
        <w:t xml:space="preserve">and runs larger for the four largest;</w:t>
      </w:r>
      <w:r>
        <w:t xml:space="preserve"> </w:t>
      </w:r>
      <w:r>
        <w:t xml:space="preserve">both counts are reported rather than one, and the discrepancy on those four is not</w:t>
      </w:r>
      <w:r>
        <w:t xml:space="preserve"> </w:t>
      </w:r>
      <w:r>
        <w:t xml:space="preserve">explained by any rule recoverable from PaintOmics’ published sources.</w:t>
      </w:r>
    </w:p>
    <w:bookmarkStart w:id="79" w:name="use-of-ai-tools"/>
    <w:p>
      <w:pPr>
        <w:pStyle w:val="Heading2"/>
      </w:pPr>
      <w:r>
        <w:t xml:space="preserve">Use of AI tools</w:t>
      </w:r>
    </w:p>
    <w:p>
      <w:pPr>
        <w:pStyle w:val="FirstParagraph"/>
      </w:pPr>
      <w:r>
        <w:t xml:space="preserve">The analysis code, figures and manuscript text were drafted with Claude Code (Anthropic), an AI</w:t>
      </w:r>
      <w:r>
        <w:t xml:space="preserve"> </w:t>
      </w:r>
      <w:r>
        <w:t xml:space="preserve">coding assistant running Claude Opus models, working under the author’s direction. Google</w:t>
      </w:r>
      <w:r>
        <w:t xml:space="preserve"> </w:t>
      </w:r>
      <w:r>
        <w:t xml:space="preserve">Antigravity made figure-layout and website edits. The assistants also ran the checks that trace</w:t>
      </w:r>
      <w:r>
        <w:t xml:space="preserve"> </w:t>
      </w:r>
      <w:r>
        <w:t xml:space="preserve">each reported number to the script output that produces it and match each reference against</w:t>
      </w:r>
      <w:r>
        <w:t xml:space="preserve"> </w:t>
      </w:r>
      <w:r>
        <w:t xml:space="preserve">CrossRef or DataCite. The author directed the work, reviewed the results and takes full</w:t>
      </w:r>
      <w:r>
        <w:t xml:space="preserve"> </w:t>
      </w:r>
      <w:r>
        <w:t xml:space="preserve">responsibility for the content.</w:t>
      </w:r>
    </w:p>
    <w:p>
      <w:pPr>
        <w:pStyle w:val="BodyText"/>
      </w:pPr>
      <w:r>
        <w:t xml:space="preserve">Supplementary Figure S1 places every locus in the significant pathways into its transcript</w:t>
      </w:r>
      <w:r>
        <w:t xml:space="preserve"> </w:t>
      </w:r>
      <w:r>
        <w:t xml:space="preserve">and protein differential-expression bin, and reports how far the reconstructed MapMan</w:t>
      </w:r>
      <w:r>
        <w:t xml:space="preserve"> </w:t>
      </w:r>
      <w:r>
        <w:t xml:space="preserve">membership agrees with PaintOmics’ own feature counts.</w:t>
      </w:r>
    </w:p>
    <w:p>
      <w:pPr>
        <w:pStyle w:val="BodyText"/>
      </w:pPr>
      <w:r>
        <w:t xml:space="preserve">All primary data are public in the NASA Open Science Data Repository</w:t>
      </w:r>
      <w:r>
        <w:t xml:space="preserve"> </w:t>
      </w:r>
      <w:r>
        <w:t xml:space="preserve">(Gebre et al. 2025)</w:t>
      </w:r>
      <w:r>
        <w:t xml:space="preserve">:</w:t>
      </w:r>
      <w:r>
        <w:t xml:space="preserve"> </w:t>
      </w:r>
      <w:r>
        <w:t xml:space="preserve">OSD-522, OSD-38, OSD-321, OSD-678 and OSD-427. Derived tables and figures are archived with</w:t>
      </w:r>
      <w:r>
        <w:t xml:space="preserve"> </w:t>
      </w:r>
      <w:r>
        <w:t xml:space="preserve">this manuscript. TODO insert the Zenodo DOI on deposit.</w:t>
      </w:r>
    </w:p>
    <w:p>
      <w:pPr>
        <w:pStyle w:val="BodyText"/>
      </w:pPr>
      <w:r>
        <w:t xml:space="preserve">The analysis code is available at</w:t>
      </w:r>
      <w:r>
        <w:t xml:space="preserve"> </w:t>
      </w:r>
      <w:hyperlink r:id="rId20">
        <w:r>
          <w:rPr>
            <w:rStyle w:val="Hyperlink"/>
          </w:rPr>
          <w:t xml:space="preserve">https://github.com/dr-richard-barker/Photorespiration_multiomics_microgravity</w:t>
        </w:r>
      </w:hyperlink>
      <w:r>
        <w:t xml:space="preserve">.</w:t>
      </w:r>
      <w:r>
        <w:t xml:space="preserve"> </w:t>
      </w:r>
      <w:r>
        <w:t xml:space="preserve">TODO insert the archived release DOI.</w:t>
      </w:r>
    </w:p>
    <w:p>
      <w:pPr>
        <w:pStyle w:val="BodyText"/>
      </w:pPr>
      <w:r>
        <w:t xml:space="preserve">TODO.</w:t>
      </w:r>
    </w:p>
    <w:p>
      <w:pPr>
        <w:pStyle w:val="BodyText"/>
      </w:pPr>
      <w:r>
        <w:t xml:space="preserve">R.B. is the sole author and takes responsibility for all of this work.</w:t>
      </w:r>
    </w:p>
    <w:p>
      <w:pPr>
        <w:pStyle w:val="BodyText"/>
      </w:pPr>
      <w:r>
        <w:t xml:space="preserve">This study received no funding.</w:t>
      </w:r>
    </w:p>
    <w:p>
      <w:pPr>
        <w:pStyle w:val="BodyText"/>
      </w:pPr>
      <w:r>
        <w:t xml:space="preserve">The author declares no financial or non-financial competing interests.</w:t>
      </w:r>
    </w:p>
    <w:bookmarkStart w:id="21" w:name="tab:operating"/>
    <w:p>
      <w:pPr>
        <w:pStyle w:val="TableCaption"/>
      </w:pPr>
      <w:r>
        <w:t xml:space="preserve">Modelled operating points at saturating light. Flight and ground control sit at</w:t>
      </w:r>
      <w:r>
        <w:t xml:space="preserve"> </w:t>
      </w:r>
      <w:r>
        <w:t xml:space="preserve">effectively the same place because both are placed in a drawn-down canister, at an assumed</w:t>
      </w:r>
      <w:r>
        <w:t xml:space="preserve"> </w:t>
      </w:r>
      <w:r>
        <w:t xml:space="preserve">100 ppm; the ventilated arm is at ambient.</w:t>
      </w:r>
    </w:p>
    <w:tbl>
      <w:tblPr>
        <w:tblStyle w:val="Table"/>
        <w:tblW w:type="auto" w:w="0"/>
        <w:tblLook w:firstRow="1" w:lastRow="0" w:firstColumn="0" w:lastColumn="0" w:noHBand="0" w:noVBand="0" w:val="0020"/>
        <w:tblCaption w:val="Modelled operating points at saturating light. Flight and ground control sit at effectively the same place because both are placed in a drawn-down canister, at an assumed 100 ppm; the ventilated arm is at ambient.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Arm</w:t>
            </w:r>
          </w:p>
        </w:tc>
        <w:tc>
          <w:tcPr/>
          <w:p>
            <w:pPr>
              <w:pStyle w:val="Compact"/>
              <w:jc w:val="right"/>
            </w:pPr>
            <m:oMath>
              <m:sSub>
                <m:e>
                  <m:r>
                    <m:t>g</m:t>
                  </m:r>
                </m:e>
                <m:sub>
                  <m:r>
                    <m:t>b</m:t>
                  </m:r>
                  <m:r>
                    <m:t>l</m:t>
                  </m:r>
                </m:sub>
              </m:sSub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right"/>
            </w:pPr>
            <m:oMath>
              <m:sSub>
                <m:e>
                  <m:r>
                    <m:t>C</m:t>
                  </m:r>
                </m:e>
                <m:sub>
                  <m:r>
                    <m:t>a</m:t>
                  </m:r>
                </m:sub>
              </m:sSub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right"/>
            </w:pPr>
            <m:oMath>
              <m:sSub>
                <m:e>
                  <m:r>
                    <m:t>C</m:t>
                  </m:r>
                </m:e>
                <m:sub>
                  <m:r>
                    <m:t>c</m:t>
                  </m:r>
                </m:sub>
              </m:sSub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right"/>
            </w:pPr>
            <m:oMath>
              <m:r>
                <m:t>φ</m:t>
              </m:r>
            </m:oMath>
            <w:r>
              <w:t xml:space="preserve"> </w:t>
            </w:r>
            <w:r>
              <w:t xml:space="preserve">(%)</w:t>
            </w:r>
          </w:p>
        </w:tc>
        <w:tc>
          <w:tcPr/>
          <w:p>
            <w:pPr>
              <w:pStyle w:val="Compact"/>
              <w:jc w:val="right"/>
            </w:pPr>
            <m:oMath>
              <m:r>
                <m:t>A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Ground control (sealed)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0.540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75.5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53.1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2.40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Flight (sealed)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0.272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73.6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53.7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2.20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Ventilated (ambient)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0.272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215.0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28.5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15.40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1"/>
    <w:p/>
    <w:bookmarkStart w:id="22" w:name="tab:studies"/>
    <w:p>
      <w:pPr>
        <w:pStyle w:val="TableCaption"/>
      </w:pPr>
      <w:r>
        <w:t xml:space="preserve">The five studies analysed, giving six contrasts (OSD-678 has a lit and a dark arm),</w:t>
      </w:r>
      <w:r>
        <w:t xml:space="preserve"> </w:t>
      </w:r>
      <w:r>
        <w:t xml:space="preserve">and the six excluded. Tissue is the binding constraint: a photosynthesis prediction says</w:t>
      </w:r>
      <w:r>
        <w:t xml:space="preserve"> </w:t>
      </w:r>
      <w:r>
        <w:t xml:space="preserve">nothing about roots. CARA’s enclosure class is modelled; OSDR describes Petri plates fixed to</w:t>
      </w:r>
      <w:r>
        <w:t xml:space="preserve"> </w:t>
      </w:r>
      <w:r>
        <w:t xml:space="preserve">the cabin wall.</w:t>
      </w:r>
    </w:p>
    <w:tbl>
      <w:tblPr>
        <w:tblStyle w:val="Table"/>
        <w:tblW w:type="auto" w:w="0"/>
        <w:tblLook w:firstRow="1" w:lastRow="0" w:firstColumn="0" w:lastColumn="0" w:noHBand="0" w:noVBand="0" w:val="0020"/>
        <w:tblCaption w:val="The five studies analysed, giving six contrasts (OSD-678 has a lit and a dark arm), and the six excluded. Tissue is the binding constraint: a photosynthesis prediction says nothing about roots. CARA’s enclosure class is modelled; OSDR describes Petri plates fixed to the cabin wall.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Study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Hardware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Class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Tissue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Light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OSD-522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BRIC-LED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sealed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shoots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lit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OSD-38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BRIC-PDFU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sealed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whole seedlings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dark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OSD-321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BRIC-PDFU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sealed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seedlings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dark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OSD-678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CARA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leaves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lit and dark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OSD-427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VEGGIE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vented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leaf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lit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rPr>
                <w:i/>
                <w:iCs/>
              </w:rPr>
              <w:t xml:space="preserve">Excluded:</w:t>
            </w:r>
            <w:r>
              <w:t xml:space="preserve"> </w:t>
            </w:r>
            <w:r>
              <w:t xml:space="preserve">OSD-120, OSD-193, OSD-281 (roots);</w:t>
            </w:r>
            <w:r>
              <w:t xml:space="preserve"> </w:t>
            </w:r>
            <w:r>
              <w:t xml:space="preserve">OSD-218 (tissue unstated);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OSD-16 (no processed files); OSD-7 (microarray, not comparable).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2"/>
    <w:bookmarkStart w:id="26" w:name="fig:hardware"/>
    <w:p>
      <w:pPr>
        <w:pStyle w:val="CaptionedFigure"/>
      </w:pPr>
      <w:r>
        <w:drawing>
          <wp:inline>
            <wp:extent cx="5334000" cy="337682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fig01_hardware_atmosphere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76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Growth hardware, not gravity, sets the atmosphere at the leaf.</w:t>
      </w:r>
      <w:r>
        <w:t xml:space="preserve"> </w:t>
      </w:r>
      <w:r>
        <w:rPr>
          <w:b/>
          <w:bCs/>
        </w:rPr>
        <w:t xml:space="preserve">b</w:t>
      </w:r>
      <w:r>
        <w:t xml:space="preserve"> </w:t>
      </w:r>
      <w:r>
        <w:t xml:space="preserve">shows CO</w:t>
      </w:r>
      <m:oMath>
        <m:sSub>
          <m:e>
            <m:r>
              <m:t>​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at the leaf surface, which is defined for all six cases and is the quantity the photosynthesis model consumes; the alternative series in the solver output, the mean over the enclosure volume, exists only for the four closed cases, because a vented enclosure has no closed volume to average.</w:t>
      </w:r>
    </w:p>
    <w:bookmarkEnd w:id="26"/>
    <w:bookmarkStart w:id="30" w:name="fig:fvcb"/>
    <w:p>
      <w:pPr>
        <w:pStyle w:val="CaptionedFigure"/>
      </w:pPr>
      <w:r>
        <w:drawing>
          <wp:inline>
            <wp:extent cx="5334000" cy="407074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fig02_fvcb_operating_points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707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A drawn-down enclosure, not microgravity, is what reaches Rubisco. Panel b shows the</w:t>
      </w:r>
      <w:r>
        <w:t xml:space="preserve"> </w:t>
      </w:r>
      <w:r>
        <w:t xml:space="preserve">refutation of our own starting hypothesis.</w:t>
      </w:r>
    </w:p>
    <w:bookmarkEnd w:id="30"/>
    <w:bookmarkStart w:id="34" w:name="fig:metabolome"/>
    <w:p>
      <w:pPr>
        <w:pStyle w:val="CaptionedFigure"/>
      </w:pPr>
      <w:r>
        <w:drawing>
          <wp:inline>
            <wp:extent cx="5334000" cy="3456415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fig03_predicted_metabolome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564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The metabolite layer had to be predicted. Every value shown is model output.</w:t>
      </w:r>
    </w:p>
    <w:bookmarkEnd w:id="34"/>
    <w:bookmarkStart w:id="38" w:name="fig:omics"/>
    <w:p>
      <w:pPr>
        <w:pStyle w:val="CaptionedFigure"/>
      </w:pPr>
      <w:r>
        <w:drawing>
          <wp:inline>
            <wp:extent cx="5334000" cy="4483574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fig04_osd522_omic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835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OSD-522:</w:t>
      </w:r>
      <w:r>
        <w:t xml:space="preserve"> </w:t>
      </w:r>
      <w:r>
        <w:rPr>
          <w:i/>
          <w:iCs/>
        </w:rPr>
        <w:t xml:space="preserve">Arabidopsis</w:t>
      </w:r>
      <w:r>
        <w:t xml:space="preserve"> </w:t>
      </w:r>
      <w:r>
        <w:t xml:space="preserve">shoots, six flight against six ground.</w:t>
      </w:r>
    </w:p>
    <w:bookmarkEnd w:id="38"/>
    <w:bookmarkStart w:id="42" w:name="fig:blind"/>
    <w:p>
      <w:pPr>
        <w:pStyle w:val="CaptionedFigure"/>
      </w:pPr>
      <w:r>
        <w:drawing>
          <wp:inline>
            <wp:extent cx="5334000" cy="2557755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fig05_blind_test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77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The model’s prediction against the measurement.</w:t>
      </w:r>
    </w:p>
    <w:bookmarkEnd w:id="42"/>
    <w:bookmarkStart w:id="46" w:name="fig:paintomics"/>
    <w:p>
      <w:pPr>
        <w:pStyle w:val="CaptionedFigure"/>
      </w:pPr>
      <w:r>
        <w:drawing>
          <wp:inline>
            <wp:extent cx="5334000" cy="2919864"/>
            <wp:effectExtent b="0" l="0" r="0" t="0"/>
            <wp:docPr descr="" title="" id="44" name="Picture"/>
            <a:graphic>
              <a:graphicData uri="http://schemas.openxmlformats.org/drawingml/2006/picture">
                <pic:pic>
                  <pic:nvPicPr>
                    <pic:cNvPr descr="fig06_paintomics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198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Pathway integration across all three layers. In</w:t>
      </w:r>
      <w:r>
        <w:t xml:space="preserve"> </w:t>
      </w:r>
      <w:r>
        <w:rPr>
          <w:b/>
          <w:bCs/>
        </w:rPr>
        <w:t xml:space="preserve">b</w:t>
      </w:r>
      <w:r>
        <w:t xml:space="preserve"> </w:t>
      </w:r>
      <w:r>
        <w:t xml:space="preserve">a square marks each pathway’s database, in the colours of</w:t>
      </w:r>
      <w:r>
        <w:t xml:space="preserve"> </w:t>
      </w:r>
      <w:r>
        <w:rPr>
          <w:b/>
          <w:bCs/>
        </w:rPr>
        <w:t xml:space="preserve">a</w:t>
      </w:r>
      <w:r>
        <w:t xml:space="preserve">: KEGG’s</w:t>
      </w:r>
      <w:r>
        <w:t xml:space="preserve"> </w:t>
      </w:r>
      <w:r>
        <w:rPr>
          <w:i/>
          <w:iCs/>
        </w:rPr>
        <w:t xml:space="preserve">Photosynthesis</w:t>
      </w:r>
      <w:r>
        <w:t xml:space="preserve"> </w:t>
      </w:r>
      <w:r>
        <w:t xml:space="preserve">and MapMan’s</w:t>
      </w:r>
      <w:r>
        <w:t xml:space="preserve"> </w:t>
      </w:r>
      <w:r>
        <w:rPr>
          <w:i/>
          <w:iCs/>
        </w:rPr>
        <w:t xml:space="preserve">photosynthesis</w:t>
      </w:r>
      <w:r>
        <w:t xml:space="preserve"> </w:t>
      </w:r>
      <w:r>
        <w:t xml:space="preserve">are different maps that differ only in capitalisation, and both reach uncorrected</w:t>
      </w:r>
      <w:r>
        <w:t xml:space="preserve"> </w:t>
      </w:r>
      <m:oMath>
        <m:r>
          <m:t>p</m:t>
        </m:r>
        <m:r>
          <m:rPr>
            <m:sty m:val="p"/>
          </m:rPr>
          <m:t>&lt;</m:t>
        </m:r>
        <m:r>
          <m:t>0.05</m:t>
        </m:r>
      </m:oMath>
      <w:r>
        <w:t xml:space="preserve">; neither survives FDR correction. MapMan’s diagram, as PaintOmics resolves it, holds 1</w:t>
      </w:r>
      <w:r>
        <w:t xml:space="preserve">,</w:t>
      </w:r>
      <w:r>
        <w:t xml:space="preserve">722 measured loci against 488 in the photosynthesis bins themselves (Methods).</w:t>
      </w:r>
    </w:p>
    <w:bookmarkEnd w:id="46"/>
    <w:bookmarkStart w:id="50" w:name="fig:ladder"/>
    <w:p>
      <w:pPr>
        <w:pStyle w:val="CaptionedFigure"/>
      </w:pPr>
      <w:r>
        <w:drawing>
          <wp:inline>
            <wp:extent cx="5334000" cy="3921333"/>
            <wp:effectExtent b="0" l="0" r="0" t="0"/>
            <wp:docPr descr="" title="" id="48" name="Picture"/>
            <a:graphic>
              <a:graphicData uri="http://schemas.openxmlformats.org/drawingml/2006/picture">
                <pic:pic>
                  <pic:nvPicPr>
                    <pic:cNvPr descr="fig07_hardware_ladder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1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Illumination separates the six contrasts on starvation over photosynthesis; the enclosure gradient does not.</w:t>
      </w:r>
    </w:p>
    <w:bookmarkEnd w:id="50"/>
    <w:bookmarkStart w:id="54" w:name="fig:implications"/>
    <w:p>
      <w:pPr>
        <w:pStyle w:val="CaptionedFigure"/>
      </w:pPr>
      <w:r>
        <w:drawing>
          <wp:inline>
            <wp:extent cx="5334000" cy="2092126"/>
            <wp:effectExtent b="0" l="0" r="0" t="0"/>
            <wp:docPr descr="" title="" id="52" name="Picture"/>
            <a:graphic>
              <a:graphicData uri="http://schemas.openxmlformats.org/drawingml/2006/picture">
                <pic:pic>
                  <pic:nvPicPr>
                    <pic:cNvPr descr="fig08_implication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921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Designing the experiment that could tell hardware from gravity.</w:t>
      </w:r>
    </w:p>
    <w:bookmarkEnd w:id="54"/>
    <w:bookmarkStart w:id="78" w:name="refs"/>
    <w:bookmarkStart w:id="56" w:name="ref-lunarleaf"/>
    <w:p>
      <w:pPr>
        <w:pStyle w:val="Bibliography"/>
      </w:pPr>
      <w:r>
        <w:t xml:space="preserve">Barker, Richard. n.d.</w:t>
      </w:r>
      <w:r>
        <w:t xml:space="preserve"> </w:t>
      </w:r>
      <w:r>
        <w:rPr>
          <w:i/>
          <w:iCs/>
        </w:rPr>
        <w:t xml:space="preserve">LunarLeaf-CFD</w:t>
      </w:r>
      <w:r>
        <w:rPr>
          <w:i/>
          <w:iCs/>
        </w:rPr>
        <w:t xml:space="preserve">: A Validated Lattice-</w:t>
      </w:r>
      <w:r>
        <w:rPr>
          <w:i/>
          <w:iCs/>
        </w:rPr>
        <w:t xml:space="preserve">Boltzmann</w:t>
      </w:r>
      <w:r>
        <w:rPr>
          <w:i/>
          <w:iCs/>
        </w:rPr>
        <w:t xml:space="preserve"> </w:t>
      </w:r>
      <w:r>
        <w:rPr>
          <w:i/>
          <w:iCs/>
        </w:rPr>
        <w:t xml:space="preserve">Solver for Leaf Boundary-Layer Gas Transport Under Variable Gravity</w:t>
      </w:r>
      <w:r>
        <w:t xml:space="preserve">.</w:t>
      </w:r>
      <w:r>
        <w:t xml:space="preserve"> </w:t>
      </w:r>
      <w:hyperlink r:id="rId55">
        <w:r>
          <w:rPr>
            <w:rStyle w:val="Hyperlink"/>
          </w:rPr>
          <w:t xml:space="preserve">Https://github.com/dr-richard-barker/LunarLeaf-CFD</w:t>
        </w:r>
      </w:hyperlink>
      <w:r>
        <w:t xml:space="preserve">.</w:t>
      </w:r>
    </w:p>
    <w:bookmarkEnd w:id="56"/>
    <w:bookmarkStart w:id="58" w:name="ref-bernacchi2003"/>
    <w:p>
      <w:pPr>
        <w:pStyle w:val="Bibliography"/>
      </w:pPr>
      <w:r>
        <w:t xml:space="preserve">Bernacchi, C. J., C. Pimentel, and S. P. Long. 2003.</w:t>
      </w:r>
      <w:r>
        <w:t xml:space="preserve"> </w:t>
      </w:r>
      <w:r>
        <w:t xml:space="preserve">“In Vivo Temperature Response Functions of Parameters Required to Model</w:t>
      </w:r>
      <w:r>
        <w:t xml:space="preserve"> </w:t>
      </w:r>
      <w:r>
        <w:t xml:space="preserve">RuBP</w:t>
      </w:r>
      <w:r>
        <w:t xml:space="preserve">-Limited Photosynthesis.”</w:t>
      </w:r>
      <w:r>
        <w:t xml:space="preserve"> </w:t>
      </w:r>
      <w:r>
        <w:rPr>
          <w:i/>
          <w:iCs/>
        </w:rPr>
        <w:t xml:space="preserve">Plant, Cell and Environment</w:t>
      </w:r>
      <w:r>
        <w:t xml:space="preserve"> </w:t>
      </w:r>
      <w:r>
        <w:t xml:space="preserve">26 (9): 1419–30.</w:t>
      </w:r>
      <w:r>
        <w:t xml:space="preserve"> </w:t>
      </w:r>
      <w:hyperlink r:id="rId57">
        <w:r>
          <w:rPr>
            <w:rStyle w:val="Hyperlink"/>
          </w:rPr>
          <w:t xml:space="preserve">https://doi.org/10.1046/j.0016-8025.2003.01050.x</w:t>
        </w:r>
      </w:hyperlink>
      <w:r>
        <w:t xml:space="preserve">.</w:t>
      </w:r>
    </w:p>
    <w:bookmarkEnd w:id="58"/>
    <w:bookmarkStart w:id="60" w:name="ref-bernacchi2001"/>
    <w:p>
      <w:pPr>
        <w:pStyle w:val="Bibliography"/>
      </w:pPr>
      <w:r>
        <w:t xml:space="preserve">Bernacchi, C. J., E. L. Singsaas, C. Pimentel, A. R. Portis Jr., and S. P. Long. 2001.</w:t>
      </w:r>
      <w:r>
        <w:t xml:space="preserve"> </w:t>
      </w:r>
      <w:r>
        <w:t xml:space="preserve">“Improved Temperature Response Functions for Models of</w:t>
      </w:r>
      <w:r>
        <w:t xml:space="preserve"> </w:t>
      </w:r>
      <w:r>
        <w:t xml:space="preserve">Rubisco</w:t>
      </w:r>
      <w:r>
        <w:t xml:space="preserve">-Limited Photosynthesis.”</w:t>
      </w:r>
      <w:r>
        <w:t xml:space="preserve"> </w:t>
      </w:r>
      <w:r>
        <w:rPr>
          <w:i/>
          <w:iCs/>
        </w:rPr>
        <w:t xml:space="preserve">Plant, Cell and Environment</w:t>
      </w:r>
      <w:r>
        <w:t xml:space="preserve"> </w:t>
      </w:r>
      <w:r>
        <w:t xml:space="preserve">24 (2): 253–59.</w:t>
      </w:r>
      <w:r>
        <w:t xml:space="preserve"> </w:t>
      </w:r>
      <w:hyperlink r:id="rId59">
        <w:r>
          <w:rPr>
            <w:rStyle w:val="Hyperlink"/>
          </w:rPr>
          <w:t xml:space="preserve">https://doi.org/10.1046/j.1365-3040.2001.00668.x</w:t>
        </w:r>
      </w:hyperlink>
      <w:r>
        <w:t xml:space="preserve">.</w:t>
      </w:r>
    </w:p>
    <w:bookmarkEnd w:id="60"/>
    <w:bookmarkStart w:id="61" w:name="ref-osd427"/>
    <w:p>
      <w:pPr>
        <w:pStyle w:val="Bibliography"/>
      </w:pPr>
      <w:r>
        <w:rPr>
          <w:i/>
          <w:iCs/>
        </w:rPr>
        <w:t xml:space="preserve">Characterizing Epigenetic Changes in Methylation Mutants (</w:t>
      </w:r>
      <w:r>
        <w:rPr>
          <w:i/>
          <w:i/>
          <w:iCs/>
          <w:iCs/>
        </w:rPr>
        <w:t xml:space="preserve">Elp2-5</w:t>
      </w:r>
      <w:r>
        <w:rPr>
          <w:i/>
          <w:iCs/>
        </w:rPr>
        <w:t xml:space="preserve"> </w:t>
      </w:r>
      <w:r>
        <w:rPr>
          <w:i/>
          <w:iCs/>
        </w:rPr>
        <w:t xml:space="preserve">and</w:t>
      </w:r>
      <w:r>
        <w:rPr>
          <w:i/>
          <w:iCs/>
        </w:rPr>
        <w:t xml:space="preserve"> </w:t>
      </w:r>
      <w:r>
        <w:rPr>
          <w:i/>
          <w:i/>
          <w:iCs/>
          <w:iCs/>
        </w:rPr>
        <w:t xml:space="preserve">Met1-7</w:t>
      </w:r>
      <w:r>
        <w:rPr>
          <w:i/>
          <w:iCs/>
        </w:rPr>
        <w:t xml:space="preserve">) in Response to Spaceflight [</w:t>
      </w:r>
      <w:r>
        <w:rPr>
          <w:i/>
          <w:iCs/>
        </w:rPr>
        <w:t xml:space="preserve">RNA-Seq</w:t>
      </w:r>
      <w:r>
        <w:rPr>
          <w:i/>
          <w:iCs/>
        </w:rPr>
        <w:t xml:space="preserve">]</w:t>
      </w:r>
      <w:r>
        <w:t xml:space="preserve">. 2021. NASA Open Science Data Repository, OSD-427 (APEX-04).</w:t>
      </w:r>
    </w:p>
    <w:bookmarkEnd w:id="61"/>
    <w:bookmarkStart w:id="63" w:name="ref-farquhar1980"/>
    <w:p>
      <w:pPr>
        <w:pStyle w:val="Bibliography"/>
      </w:pPr>
      <w:r>
        <w:t xml:space="preserve">Farquhar, G. D., S. von Caemmerer, and J. A. Berry. 1980.</w:t>
      </w:r>
      <w:r>
        <w:t xml:space="preserve"> </w:t>
      </w:r>
      <w:r>
        <w:t xml:space="preserve">“A Biochemical Model of Photosynthetic</w:t>
      </w:r>
      <w:r>
        <w:t xml:space="preserve"> </w:t>
      </w:r>
      <w:r>
        <w:t xml:space="preserve">CO</w:t>
      </w:r>
      <m:oMath>
        <m:sSub>
          <m:e>
            <m:r>
              <m:t>​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Assimilation in Leaves of</w:t>
      </w:r>
      <w:r>
        <w:t xml:space="preserve"> </w:t>
      </w:r>
      <w:r>
        <w:t xml:space="preserve">C</w:t>
      </w:r>
      <m:oMath>
        <m:sSub>
          <m:e>
            <m:r>
              <m:t>​</m:t>
            </m:r>
          </m:e>
          <m:sub>
            <m:r>
              <m:t>3</m:t>
            </m:r>
          </m:sub>
        </m:sSub>
      </m:oMath>
      <w:r>
        <w:t xml:space="preserve"> </w:t>
      </w:r>
      <w:r>
        <w:t xml:space="preserve">Species.”</w:t>
      </w:r>
      <w:r>
        <w:t xml:space="preserve"> </w:t>
      </w:r>
      <w:r>
        <w:rPr>
          <w:i/>
          <w:iCs/>
        </w:rPr>
        <w:t xml:space="preserve">Planta</w:t>
      </w:r>
      <w:r>
        <w:t xml:space="preserve"> </w:t>
      </w:r>
      <w:r>
        <w:t xml:space="preserve">149 (1): 78–90.</w:t>
      </w:r>
      <w:r>
        <w:t xml:space="preserve"> </w:t>
      </w:r>
      <w:hyperlink r:id="rId62">
        <w:r>
          <w:rPr>
            <w:rStyle w:val="Hyperlink"/>
          </w:rPr>
          <w:t xml:space="preserve">https://doi.org/10.1007/BF00386231</w:t>
        </w:r>
      </w:hyperlink>
      <w:r>
        <w:t xml:space="preserve">.</w:t>
      </w:r>
    </w:p>
    <w:bookmarkEnd w:id="63"/>
    <w:bookmarkStart w:id="65" w:name="ref-osdr2025"/>
    <w:p>
      <w:pPr>
        <w:pStyle w:val="Bibliography"/>
      </w:pPr>
      <w:r>
        <w:t xml:space="preserve">Gebre, Samrawit G, Ryan T Scott, Amanda M Saravia-Butler, Danielle K Lopez, Lauren M Sanders, and Sylvain V Costes. 2025.</w:t>
      </w:r>
      <w:r>
        <w:t xml:space="preserve"> </w:t>
      </w:r>
      <w:r>
        <w:t xml:space="preserve">“</w:t>
      </w:r>
      <w:r>
        <w:t xml:space="preserve">NASA</w:t>
      </w:r>
      <w:r>
        <w:t xml:space="preserve"> </w:t>
      </w:r>
      <w:r>
        <w:t xml:space="preserve">Open Science Data Repository: Open Science for Life in Space.”</w:t>
      </w:r>
      <w:r>
        <w:t xml:space="preserve"> </w:t>
      </w:r>
      <w:r>
        <w:rPr>
          <w:i/>
          <w:iCs/>
        </w:rPr>
        <w:t xml:space="preserve">Nucleic Acids Research</w:t>
      </w:r>
      <w:r>
        <w:t xml:space="preserve"> </w:t>
      </w:r>
      <w:r>
        <w:t xml:space="preserve">53 (D1): D1697–710.</w:t>
      </w:r>
      <w:r>
        <w:t xml:space="preserve"> </w:t>
      </w:r>
      <w:hyperlink r:id="rId64">
        <w:r>
          <w:rPr>
            <w:rStyle w:val="Hyperlink"/>
          </w:rPr>
          <w:t xml:space="preserve">https://doi.org/10.1093/nar/gkae1116</w:t>
        </w:r>
      </w:hyperlink>
      <w:r>
        <w:t xml:space="preserve">.</w:t>
      </w:r>
    </w:p>
    <w:bookmarkEnd w:id="65"/>
    <w:bookmarkStart w:id="66" w:name="ref-osd522"/>
    <w:p>
      <w:pPr>
        <w:pStyle w:val="Bibliography"/>
      </w:pPr>
      <w:r>
        <w:rPr>
          <w:i/>
          <w:iCs/>
        </w:rPr>
        <w:t xml:space="preserve">Integrative Transcriptomics and Proteomics Profiling of</w:t>
      </w:r>
      <w:r>
        <w:rPr>
          <w:i/>
          <w:iCs/>
        </w:rPr>
        <w:t xml:space="preserve"> </w:t>
      </w:r>
      <w:r>
        <w:rPr>
          <w:i/>
          <w:i/>
          <w:iCs/>
          <w:iCs/>
        </w:rPr>
        <w:t xml:space="preserve">Arabidopsis Thaliana</w:t>
      </w:r>
      <w:r>
        <w:rPr>
          <w:i/>
          <w:iCs/>
        </w:rPr>
        <w:t xml:space="preserve"> </w:t>
      </w:r>
      <w:r>
        <w:rPr>
          <w:i/>
          <w:iCs/>
        </w:rPr>
        <w:t xml:space="preserve">Elucidates Novel Mechanisms Underlying Spaceflight Adaptation</w:t>
      </w:r>
      <w:r>
        <w:t xml:space="preserve">. 2024. NASA Open Science Data Repository, OSD-522 (BRIC-LED-001).</w:t>
      </w:r>
    </w:p>
    <w:bookmarkEnd w:id="66"/>
    <w:bookmarkStart w:id="68" w:name="ref-kanehisa2000"/>
    <w:p>
      <w:pPr>
        <w:pStyle w:val="Bibliography"/>
      </w:pPr>
      <w:r>
        <w:t xml:space="preserve">Kanehisa, M., and S. Goto. 2000.</w:t>
      </w:r>
      <w:r>
        <w:t xml:space="preserve"> </w:t>
      </w:r>
      <w:r>
        <w:t xml:space="preserve">“</w:t>
      </w:r>
      <w:r>
        <w:t xml:space="preserve">KEGG</w:t>
      </w:r>
      <w:r>
        <w:t xml:space="preserve">:</w:t>
      </w:r>
      <w:r>
        <w:t xml:space="preserve"> </w:t>
      </w:r>
      <w:r>
        <w:t xml:space="preserve">Kyoto</w:t>
      </w:r>
      <w:r>
        <w:t xml:space="preserve"> </w:t>
      </w:r>
      <w:r>
        <w:t xml:space="preserve">Encyclopedia of Genes and Genomes.”</w:t>
      </w:r>
      <w:r>
        <w:t xml:space="preserve"> </w:t>
      </w:r>
      <w:r>
        <w:rPr>
          <w:i/>
          <w:iCs/>
        </w:rPr>
        <w:t xml:space="preserve">Nucleic Acids Research</w:t>
      </w:r>
      <w:r>
        <w:t xml:space="preserve"> </w:t>
      </w:r>
      <w:r>
        <w:t xml:space="preserve">28 (1): 27–30.</w:t>
      </w:r>
      <w:r>
        <w:t xml:space="preserve"> </w:t>
      </w:r>
      <w:hyperlink r:id="rId67">
        <w:r>
          <w:rPr>
            <w:rStyle w:val="Hyperlink"/>
          </w:rPr>
          <w:t xml:space="preserve">https://doi.org/10.1093/nar/28.1.27</w:t>
        </w:r>
      </w:hyperlink>
      <w:r>
        <w:t xml:space="preserve">.</w:t>
      </w:r>
    </w:p>
    <w:bookmarkEnd w:id="68"/>
    <w:bookmarkStart w:id="70" w:name="ref-kegg"/>
    <w:p>
      <w:pPr>
        <w:pStyle w:val="Bibliography"/>
      </w:pPr>
      <w:r>
        <w:rPr>
          <w:i/>
          <w:iCs/>
        </w:rPr>
        <w:t xml:space="preserve">KEGG</w:t>
      </w:r>
      <w:r>
        <w:rPr>
          <w:i/>
          <w:iCs/>
        </w:rPr>
        <w:t xml:space="preserve">:</w:t>
      </w:r>
      <w:r>
        <w:rPr>
          <w:i/>
          <w:iCs/>
        </w:rPr>
        <w:t xml:space="preserve"> </w:t>
      </w:r>
      <w:r>
        <w:rPr>
          <w:i/>
          <w:iCs/>
        </w:rPr>
        <w:t xml:space="preserve">Kyoto</w:t>
      </w:r>
      <w:r>
        <w:rPr>
          <w:i/>
          <w:iCs/>
        </w:rPr>
        <w:t xml:space="preserve"> </w:t>
      </w:r>
      <w:r>
        <w:rPr>
          <w:i/>
          <w:iCs/>
        </w:rPr>
        <w:t xml:space="preserve">Encyclopedia of Genes and Genomes</w:t>
      </w:r>
      <w:r>
        <w:t xml:space="preserve">. n.d.</w:t>
      </w:r>
      <w:r>
        <w:t xml:space="preserve"> </w:t>
      </w:r>
      <w:hyperlink r:id="rId69">
        <w:r>
          <w:rPr>
            <w:rStyle w:val="Hyperlink"/>
          </w:rPr>
          <w:t xml:space="preserve">Https://www.kegg.jp/</w:t>
        </w:r>
      </w:hyperlink>
      <w:r>
        <w:t xml:space="preserve">.</w:t>
      </w:r>
    </w:p>
    <w:bookmarkEnd w:id="70"/>
    <w:bookmarkStart w:id="71" w:name="ref-osd678"/>
    <w:p>
      <w:pPr>
        <w:pStyle w:val="Bibliography"/>
      </w:pPr>
      <w:r>
        <w:rPr>
          <w:i/>
          <w:iCs/>
        </w:rPr>
        <w:t xml:space="preserve">Light Has a Principal Role in the</w:t>
      </w:r>
      <w:r>
        <w:rPr>
          <w:i/>
          <w:iCs/>
        </w:rPr>
        <w:t xml:space="preserve"> </w:t>
      </w:r>
      <w:r>
        <w:rPr>
          <w:i/>
          <w:i/>
          <w:iCs/>
          <w:iCs/>
        </w:rPr>
        <w:t xml:space="preserve">Arabidopsis</w:t>
      </w:r>
      <w:r>
        <w:rPr>
          <w:i/>
          <w:iCs/>
        </w:rPr>
        <w:t xml:space="preserve"> </w:t>
      </w:r>
      <w:r>
        <w:rPr>
          <w:i/>
          <w:iCs/>
        </w:rPr>
        <w:t xml:space="preserve">Transcriptomic Response to the Spaceflight Environment</w:t>
      </w:r>
      <w:r>
        <w:t xml:space="preserve">. 2023. NASA Open Science Data Repository, OSD-678 (CARA).</w:t>
      </w:r>
    </w:p>
    <w:bookmarkEnd w:id="71"/>
    <w:bookmarkStart w:id="73" w:name="ref-paintomics4"/>
    <w:p>
      <w:pPr>
        <w:pStyle w:val="Bibliography"/>
      </w:pPr>
      <w:r>
        <w:t xml:space="preserve">Liu, Tianyuan, Pedro Salguero, Marko Petek, et al. 2022.</w:t>
      </w:r>
      <w:r>
        <w:t xml:space="preserve"> </w:t>
      </w:r>
      <w:r>
        <w:t xml:space="preserve">“</w:t>
      </w:r>
      <w:r>
        <w:t xml:space="preserve">PaintOmics</w:t>
      </w:r>
      <w:r>
        <w:t xml:space="preserve"> </w:t>
      </w:r>
      <w:r>
        <w:t xml:space="preserve">4: New Tools for the Integrative Analysis of Multi-Omics Datasets Supported by Multiple Pathway Databases.”</w:t>
      </w:r>
      <w:r>
        <w:t xml:space="preserve"> </w:t>
      </w:r>
      <w:r>
        <w:rPr>
          <w:i/>
          <w:iCs/>
        </w:rPr>
        <w:t xml:space="preserve">Nucleic Acids Research</w:t>
      </w:r>
      <w:r>
        <w:t xml:space="preserve"> </w:t>
      </w:r>
      <w:r>
        <w:t xml:space="preserve">50 (W1): W551–59.</w:t>
      </w:r>
      <w:r>
        <w:t xml:space="preserve"> </w:t>
      </w:r>
      <w:hyperlink r:id="rId72">
        <w:r>
          <w:rPr>
            <w:rStyle w:val="Hyperlink"/>
          </w:rPr>
          <w:t xml:space="preserve">https://doi.org/10.1093/nar/gkac352</w:t>
        </w:r>
      </w:hyperlink>
      <w:r>
        <w:t xml:space="preserve">.</w:t>
      </w:r>
    </w:p>
    <w:bookmarkEnd w:id="73"/>
    <w:bookmarkStart w:id="75" w:name="ref-pydeseq2"/>
    <w:p>
      <w:pPr>
        <w:pStyle w:val="Bibliography"/>
      </w:pPr>
      <w:r>
        <w:t xml:space="preserve">Muzellec, Boris, Maria Teleńczuk, Vincent Cabeli, and Mathieu Andreux. 2023.</w:t>
      </w:r>
      <w:r>
        <w:t xml:space="preserve"> </w:t>
      </w:r>
      <w:r>
        <w:t xml:space="preserve">“</w:t>
      </w:r>
      <w:r>
        <w:t xml:space="preserve">PyDESeq2</w:t>
      </w:r>
      <w:r>
        <w:t xml:space="preserve">: A Python Package for Bulk</w:t>
      </w:r>
      <w:r>
        <w:t xml:space="preserve"> </w:t>
      </w:r>
      <w:r>
        <w:t xml:space="preserve">RNA</w:t>
      </w:r>
      <w:r>
        <w:t xml:space="preserve">-Seq Differential Expression Analysis.”</w:t>
      </w:r>
      <w:r>
        <w:t xml:space="preserve"> </w:t>
      </w:r>
      <w:r>
        <w:rPr>
          <w:i/>
          <w:iCs/>
        </w:rPr>
        <w:t xml:space="preserve">Bioinformatics</w:t>
      </w:r>
      <w:r>
        <w:t xml:space="preserve"> </w:t>
      </w:r>
      <w:r>
        <w:t xml:space="preserve">39 (9): btad547.</w:t>
      </w:r>
      <w:r>
        <w:t xml:space="preserve"> </w:t>
      </w:r>
      <w:hyperlink r:id="rId74">
        <w:r>
          <w:rPr>
            <w:rStyle w:val="Hyperlink"/>
          </w:rPr>
          <w:t xml:space="preserve">https://doi.org/10.1093/bioinformatics/btad547</w:t>
        </w:r>
      </w:hyperlink>
      <w:r>
        <w:t xml:space="preserve">.</w:t>
      </w:r>
    </w:p>
    <w:bookmarkEnd w:id="75"/>
    <w:bookmarkStart w:id="76" w:name="ref-osd38"/>
    <w:p>
      <w:pPr>
        <w:pStyle w:val="Bibliography"/>
      </w:pPr>
      <w:r>
        <w:rPr>
          <w:i/>
          <w:iCs/>
        </w:rPr>
        <w:t xml:space="preserve">Proteomics and Transcriptomics Analysis of</w:t>
      </w:r>
      <w:r>
        <w:rPr>
          <w:i/>
          <w:iCs/>
        </w:rPr>
        <w:t xml:space="preserve"> </w:t>
      </w:r>
      <w:r>
        <w:rPr>
          <w:i/>
          <w:i/>
          <w:iCs/>
          <w:iCs/>
        </w:rPr>
        <w:t xml:space="preserve">Arabidopsis</w:t>
      </w:r>
      <w:r>
        <w:rPr>
          <w:i/>
          <w:iCs/>
        </w:rPr>
        <w:t xml:space="preserve"> </w:t>
      </w:r>
      <w:r>
        <w:rPr>
          <w:i/>
          <w:iCs/>
        </w:rPr>
        <w:t xml:space="preserve">Seedlings in Microgravity</w:t>
      </w:r>
      <w:r>
        <w:t xml:space="preserve">. 2015. NASA Open Science Data Repository, OSD-38 (BRIC-20).</w:t>
      </w:r>
    </w:p>
    <w:bookmarkEnd w:id="76"/>
    <w:bookmarkStart w:id="77" w:name="ref-osd321"/>
    <w:p>
      <w:pPr>
        <w:pStyle w:val="Bibliography"/>
      </w:pPr>
      <w:r>
        <w:rPr>
          <w:i/>
          <w:iCs/>
        </w:rPr>
        <w:t xml:space="preserve">Relevance of Unfolded Protein Response to Spaceflight-Induced Transcriptional Reprogramming in</w:t>
      </w:r>
      <w:r>
        <w:rPr>
          <w:i/>
          <w:iCs/>
        </w:rPr>
        <w:t xml:space="preserve"> </w:t>
      </w:r>
      <w:r>
        <w:rPr>
          <w:i/>
          <w:i/>
          <w:iCs/>
          <w:iCs/>
        </w:rPr>
        <w:t xml:space="preserve">Arabidopsis</w:t>
      </w:r>
      <w:r>
        <w:t xml:space="preserve">. 2021. NASA Open Science Data Repository, OSD-321 (BRIC-22).</w:t>
      </w:r>
    </w:p>
    <w:bookmarkEnd w:id="77"/>
    <w:bookmarkEnd w:id="78"/>
    <w:bookmarkEnd w:id="79"/>
    <w:bookmarkEnd w:id="8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27" Target="media/rId27.png" /><Relationship Type="http://schemas.openxmlformats.org/officeDocument/2006/relationships/image" Id="rId31" Target="media/rId31.png" /><Relationship Type="http://schemas.openxmlformats.org/officeDocument/2006/relationships/image" Id="rId35" Target="media/rId35.png" /><Relationship Type="http://schemas.openxmlformats.org/officeDocument/2006/relationships/image" Id="rId39" Target="media/rId39.png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51" Target="media/rId51.png" /><Relationship Type="http://schemas.openxmlformats.org/officeDocument/2006/relationships/hyperlink" Id="rId62" Target="https://doi.org/10.1007/BF00386231" TargetMode="External" /><Relationship Type="http://schemas.openxmlformats.org/officeDocument/2006/relationships/hyperlink" Id="rId57" Target="https://doi.org/10.1046/j.0016-8025.2003.01050.x" TargetMode="External" /><Relationship Type="http://schemas.openxmlformats.org/officeDocument/2006/relationships/hyperlink" Id="rId59" Target="https://doi.org/10.1046/j.1365-3040.2001.00668.x" TargetMode="External" /><Relationship Type="http://schemas.openxmlformats.org/officeDocument/2006/relationships/hyperlink" Id="rId74" Target="https://doi.org/10.1093/bioinformatics/btad547" TargetMode="External" /><Relationship Type="http://schemas.openxmlformats.org/officeDocument/2006/relationships/hyperlink" Id="rId67" Target="https://doi.org/10.1093/nar/28.1.27" TargetMode="External" /><Relationship Type="http://schemas.openxmlformats.org/officeDocument/2006/relationships/hyperlink" Id="rId72" Target="https://doi.org/10.1093/nar/gkac352" TargetMode="External" /><Relationship Type="http://schemas.openxmlformats.org/officeDocument/2006/relationships/hyperlink" Id="rId64" Target="https://doi.org/10.1093/nar/gkae1116" TargetMode="External" /><Relationship Type="http://schemas.openxmlformats.org/officeDocument/2006/relationships/hyperlink" Id="rId55" Target="https://github.com/dr-richard-barker/LunarLeaf-CFD" TargetMode="External" /><Relationship Type="http://schemas.openxmlformats.org/officeDocument/2006/relationships/hyperlink" Id="rId20" Target="https://github.com/dr-richard-barker/Photorespiration_multiomics_microgravity" TargetMode="External" /><Relationship Type="http://schemas.openxmlformats.org/officeDocument/2006/relationships/hyperlink" Id="rId69" Target="https://www.kegg.jp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2" Target="https://doi.org/10.1007/BF00386231" TargetMode="External" /><Relationship Type="http://schemas.openxmlformats.org/officeDocument/2006/relationships/hyperlink" Id="rId57" Target="https://doi.org/10.1046/j.0016-8025.2003.01050.x" TargetMode="External" /><Relationship Type="http://schemas.openxmlformats.org/officeDocument/2006/relationships/hyperlink" Id="rId59" Target="https://doi.org/10.1046/j.1365-3040.2001.00668.x" TargetMode="External" /><Relationship Type="http://schemas.openxmlformats.org/officeDocument/2006/relationships/hyperlink" Id="rId74" Target="https://doi.org/10.1093/bioinformatics/btad547" TargetMode="External" /><Relationship Type="http://schemas.openxmlformats.org/officeDocument/2006/relationships/hyperlink" Id="rId67" Target="https://doi.org/10.1093/nar/28.1.27" TargetMode="External" /><Relationship Type="http://schemas.openxmlformats.org/officeDocument/2006/relationships/hyperlink" Id="rId72" Target="https://doi.org/10.1093/nar/gkac352" TargetMode="External" /><Relationship Type="http://schemas.openxmlformats.org/officeDocument/2006/relationships/hyperlink" Id="rId64" Target="https://doi.org/10.1093/nar/gkae1116" TargetMode="External" /><Relationship Type="http://schemas.openxmlformats.org/officeDocument/2006/relationships/hyperlink" Id="rId55" Target="https://github.com/dr-richard-barker/LunarLeaf-CFD" TargetMode="External" /><Relationship Type="http://schemas.openxmlformats.org/officeDocument/2006/relationships/hyperlink" Id="rId20" Target="https://github.com/dr-richard-barker/Photorespiration_multiomics_microgravity" TargetMode="External" /><Relationship Type="http://schemas.openxmlformats.org/officeDocument/2006/relationships/hyperlink" Id="rId69" Target="https://www.kegg.jp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gas-transport model predicts the Arabidopsis spaceflight transcriptome, and illumination separates six flight contrasts</dc:title>
  <dc:creator/>
  <cp:keywords/>
  <dcterms:created xsi:type="dcterms:W3CDTF">2026-10-31T00:29:29Z</dcterms:created>
  <dcterms:modified xsi:type="dcterms:W3CDTF">2026-10-31T00:29:29Z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graphy">
    <vt:lpwstr/>
  </property>
</Properties>
</file>