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Supplementary information for: A gas-transport model</w:t>
      </w:r>
      <w:r>
        <w:t xml:space="preserve"> </w:t>
      </w:r>
      <w:r>
        <w:t xml:space="preserve">predicts the</w:t>
      </w:r>
      <w:r>
        <w:t xml:space="preserve"> </w:t>
      </w:r>
      <w:r>
        <w:rPr>
          <w:i/>
          <w:iCs/>
        </w:rPr>
        <w:t xml:space="preserve">Arabidopsis</w:t>
      </w:r>
      <w:r>
        <w:t xml:space="preserve"> </w:t>
      </w:r>
      <w:r>
        <w:t xml:space="preserve">spaceflight transcriptome, and illumination separates six</w:t>
      </w:r>
      <w:r>
        <w:t xml:space="preserve"> </w:t>
      </w:r>
      <w:r>
        <w:t xml:space="preserve">flight contrasts</w:t>
      </w:r>
    </w:p>
    <w:p>
      <w:pPr>
        <w:pStyle w:val="Author"/>
      </w:pPr>
    </w:p>
    <w:bookmarkStart w:id="13" w:name="supplementary-figures"/>
    <w:p>
      <w:pPr>
        <w:pStyle w:val="Heading1"/>
      </w:pPr>
      <w:r>
        <w:t xml:space="preserve">Supplementary figures</w:t>
      </w:r>
    </w:p>
    <w:bookmarkStart w:id="12" w:name="fig:sankey"/>
    <w:p>
      <w:pPr>
        <w:pStyle w:val="CaptionedFigure"/>
      </w:pPr>
      <w:r>
        <w:drawing>
          <wp:inline>
            <wp:extent cx="5334000" cy="444296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S1_sanke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2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b/>
          <w:bCs/>
        </w:rPr>
        <w:t xml:space="preserve">Where the loci go, and how far the MapMan half of the diagram can be</w:t>
      </w:r>
      <w:r>
        <w:rPr>
          <w:b/>
          <w:bCs/>
        </w:rPr>
        <w:t xml:space="preserve"> </w:t>
      </w:r>
      <w:r>
        <w:rPr>
          <w:b/>
          <w:bCs/>
        </w:rPr>
        <w:t xml:space="preserve">trusted.</w:t>
      </w:r>
      <w:r>
        <w:t xml:space="preserve"> </w:t>
      </w:r>
      <w:r>
        <w:rPr>
          <w:b/>
          <w:bCs/>
        </w:rPr>
        <w:t xml:space="preserve">a</w:t>
      </w:r>
      <w:r>
        <w:t xml:space="preserve">, Each locus in at least one of the 29 non-whole-ontology significant pathways is</w:t>
      </w:r>
      <w:r>
        <w:t xml:space="preserve"> </w:t>
      </w:r>
      <w:r>
        <w:t xml:space="preserve">placed in one transcript bin and one protein bin, and then into the pathways it belongs to.</w:t>
      </w:r>
      <w:r>
        <w:t xml:space="preserve"> </w:t>
      </w:r>
      <w:r>
        <w:t xml:space="preserve">Ribbon width is a locus count. The transcript and protein columns conserve loci exactly; the</w:t>
      </w:r>
      <w:r>
        <w:t xml:space="preserve"> </w:t>
      </w:r>
      <w:r>
        <w:t xml:space="preserve">pathway column counts</w:t>
      </w:r>
      <w:r>
        <w:t xml:space="preserve"> </w:t>
      </w:r>
      <w:r>
        <w:rPr>
          <w:i/>
          <w:iCs/>
        </w:rPr>
        <w:t xml:space="preserve">memberships</w:t>
      </w:r>
      <w:r>
        <w:t xml:space="preserve">, so a locus in more than one pathway is counted more</w:t>
      </w:r>
      <w:r>
        <w:t xml:space="preserve"> </w:t>
      </w:r>
      <w:r>
        <w:t xml:space="preserve">than once. The pathway column draws the ten most significant; a square gives each pathway’s</w:t>
      </w:r>
      <w:r>
        <w:t xml:space="preserve"> </w:t>
      </w:r>
      <w:r>
        <w:t xml:space="preserve">database in the colours of Fig. 6a. Three whole-ontology MapMan diagrams</w:t>
      </w:r>
      <w:r>
        <w:t xml:space="preserve"> </w:t>
      </w:r>
      <w:r>
        <w:t xml:space="preserve">are excluded —</w:t>
      </w:r>
      <w:r>
        <w:t xml:space="preserve"> </w:t>
      </w:r>
      <w:r>
        <w:rPr>
          <w:i/>
          <w:iCs/>
        </w:rPr>
        <w:t xml:space="preserve">Overview</w:t>
      </w:r>
      <w:r>
        <w:t xml:space="preserve"> </w:t>
      </w:r>
      <w:r>
        <w:t xml:space="preserve">lists all 36 top-level bins and so covers 99.8 % of</w:t>
      </w:r>
      <w:r>
        <w:t xml:space="preserve"> </w:t>
      </w:r>
      <w:r>
        <w:t xml:space="preserve">measured loci, and</w:t>
      </w:r>
      <w:r>
        <w:t xml:space="preserve"> </w:t>
      </w:r>
      <w:r>
        <w:rPr>
          <w:i/>
          <w:iCs/>
        </w:rPr>
        <w:t xml:space="preserve">Regulation overview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Biotic Stress</w:t>
      </w:r>
      <w:r>
        <w:t xml:space="preserve"> </w:t>
      </w:r>
      <w:r>
        <w:t xml:space="preserve">cover 45 % and</w:t>
      </w:r>
      <w:r>
        <w:t xml:space="preserve"> </w:t>
      </w:r>
      <w:r>
        <w:t xml:space="preserve">44 %; the next largest covers 17 %. A map holding nearly every measured locus cannot say</w:t>
      </w:r>
      <w:r>
        <w:t xml:space="preserve"> </w:t>
      </w:r>
      <w:r>
        <w:t xml:space="preserve">where anything goes, because its ribbons reproduce the marginal distribution.</w:t>
      </w:r>
      <w:r>
        <w:t xml:space="preserve"> </w:t>
      </w:r>
      <w:r>
        <w:rPr>
          <w:b/>
          <w:bCs/>
        </w:rPr>
        <w:t xml:space="preserve">b</w:t>
      </w:r>
      <w:r>
        <w:t xml:space="preserve">, PaintOmics reports enrichment but not the gene lists behind it, and MapMan has no</w:t>
      </w:r>
      <w:r>
        <w:t xml:space="preserve"> </w:t>
      </w:r>
      <w:r>
        <w:t xml:space="preserve">equivalent of the KEGG REST API, so MapMan membership is reconstructed from GoMapMan’s</w:t>
      </w:r>
      <w:r>
        <w:t xml:space="preserve"> </w:t>
      </w:r>
      <w:r>
        <w:t xml:space="preserve">Araport11 gene-to-bin mapping and the MapMan diagram layouts, by PaintOmics’ own inclusion</w:t>
      </w:r>
      <w:r>
        <w:t xml:space="preserve"> </w:t>
      </w:r>
      <w:r>
        <w:t xml:space="preserve">rules. Reconstructed membership is compared against the feature count PaintOmics itself</w:t>
      </w:r>
      <w:r>
        <w:t xml:space="preserve"> </w:t>
      </w:r>
      <w:r>
        <w:t xml:space="preserve">reported for each diagram (log scale). Nine of the thirteen agree to within three features.</w:t>
      </w:r>
      <w:r>
        <w:t xml:space="preserve"> </w:t>
      </w:r>
      <w:r>
        <w:t xml:space="preserve">Significance throughout is PaintOmics’ uncorrected combined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0.05</m:t>
        </m:r>
      </m:oMath>
      <w:r>
        <w:t xml:space="preserve">.</w:t>
      </w:r>
      <w:r>
        <w:t xml:space="preserve"> </w:t>
      </w:r>
      <w:r>
        <w:t xml:space="preserve">The four that do not are the largest maps, are marked in vermilion with the ratio between the</w:t>
      </w:r>
      <w:r>
        <w:t xml:space="preserve"> </w:t>
      </w:r>
      <w:r>
        <w:t xml:space="preserve">two counts, and the reason for the difference is not recoverable from PaintOmics’ published</w:t>
      </w:r>
      <w:r>
        <w:t xml:space="preserve"> </w:t>
      </w:r>
      <w:r>
        <w:t xml:space="preserve">sources; both counts are reported rather than one.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 for: A gas-transport model predicts the Arabidopsis spaceflight transcriptome, and illumination separates six flight contrasts</dc:title>
  <dc:creator/>
  <cp:keywords/>
  <dcterms:created xsi:type="dcterms:W3CDTF">2026-10-31T00:29:29Z</dcterms:created>
  <dcterms:modified xsi:type="dcterms:W3CDTF">2026-10-31T00:29:29Z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/>
  </property>
</Properties>
</file>